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7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10560"/>
        <w:gridCol w:w="6"/>
      </w:tblGrid>
      <w:tr w:rsidR="000C14AD" w:rsidTr="000C1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0C14AD" w:rsidRDefault="000C14A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60"/>
            </w:tblGrid>
            <w:tr w:rsidR="000C14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14AD" w:rsidRDefault="000C14A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color w:val="1F497D"/>
                      <w:sz w:val="26"/>
                      <w:szCs w:val="26"/>
                    </w:rPr>
                    <w:drawing>
                      <wp:inline distT="0" distB="0" distL="0" distR="0">
                        <wp:extent cx="6677025" cy="2445385"/>
                        <wp:effectExtent l="19050" t="0" r="9525" b="0"/>
                        <wp:docPr id="1" name="Рисунок 1" descr="cid:image001.jpg@01CE7F0D.5D5225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01.jpg@01CE7F0D.5D5225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77025" cy="2445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14AD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10"/>
                    <w:gridCol w:w="10144"/>
                    <w:gridCol w:w="6"/>
                  </w:tblGrid>
                  <w:tr w:rsidR="000C14AD">
                    <w:trPr>
                      <w:trHeight w:val="150"/>
                      <w:tblCellSpacing w:w="0" w:type="dxa"/>
                    </w:trPr>
                    <w:tc>
                      <w:tcPr>
                        <w:tcW w:w="408" w:type="dxa"/>
                        <w:shd w:val="clear" w:color="auto" w:fill="FFFFFF"/>
                        <w:vAlign w:val="center"/>
                        <w:hideMark/>
                      </w:tcPr>
                      <w:p w:rsidR="000C14AD" w:rsidRDefault="000C14AD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10101" w:type="dxa"/>
                        <w:shd w:val="clear" w:color="auto" w:fill="FFFFFF"/>
                        <w:vAlign w:val="center"/>
                        <w:hideMark/>
                      </w:tcPr>
                      <w:p w:rsidR="000C14AD" w:rsidRDefault="000C14AD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FFFFFF"/>
                        <w:vAlign w:val="center"/>
                        <w:hideMark/>
                      </w:tcPr>
                      <w:p w:rsidR="000C14AD" w:rsidRDefault="000C14AD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  <w:tr w:rsidR="000C14AD">
                    <w:trPr>
                      <w:trHeight w:val="420"/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0C14AD" w:rsidRDefault="000C14A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0C14AD" w:rsidRDefault="000C14AD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C14AD" w:rsidRDefault="000C14AD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  <w:tr w:rsidR="000C14AD">
                    <w:trPr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0C14AD" w:rsidRDefault="000C14AD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0C14AD" w:rsidRDefault="000C14AD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1F497D"/>
                            <w:sz w:val="26"/>
                            <w:szCs w:val="26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544"/>
                          <w:gridCol w:w="600"/>
                        </w:tblGrid>
                        <w:tr w:rsidR="000C14A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0C14AD" w:rsidRDefault="000C14AD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акций</w:t>
                              </w:r>
                            </w:p>
                            <w:p w:rsidR="000C14AD" w:rsidRDefault="000C14AD"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0C14AD" w:rsidRDefault="000C14AD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2" name="Рисунок 2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r:link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C14AD" w:rsidRDefault="000C14A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0C14AD" w:rsidRDefault="000C14AD">
                              <w:pPr>
                                <w:rPr>
                                  <w:color w:val="1F497D"/>
                                </w:rPr>
                              </w:pPr>
                            </w:p>
                            <w:p w:rsidR="000C14AD" w:rsidRDefault="000C14AD">
                              <w:pPr>
                                <w:jc w:val="both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Прошедшую неделю большинство мировых фондовых площадок завершили в «красной зоне». Инвесторы предпочитали защитные активы, что, помимо прочего, отразилось и на сырьевом рынке (нефть подешевела до двухлетних минимумов), и на валютах развивающихся стран, которые в среднем подешевели к доллару на 1,65%. Российский рынок на общем фоне выглядел несколько хуже других из-за сообщений о боевых действиях на востоке Украины. </w:t>
                              </w:r>
                            </w:p>
                            <w:p w:rsidR="000C14AD" w:rsidRDefault="000C14AD">
                              <w:pPr>
                                <w:jc w:val="both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</w:p>
                            <w:p w:rsidR="000C14AD" w:rsidRDefault="000C14AD">
                              <w:pPr>
                                <w:jc w:val="both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Мы верим в среднесрочные перспективы развитых рынков акций США и Европы, несмотря на текущую коррекцию. Последняя статистика с рынка труда в США показывает улучшение экономической конъюнктуры, что, с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>одной стороны, увеличивает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 вероятность более скорого перехода к циклу роста ставок, с другой – прибыли в корпоративном секторе по-прежнему очень высоки по историческим меркам, что позволяет компаниям выплачивать высокие дивиденды и выкупать акции с рынка, поднимая котировки. Еврозона пока демонстрирует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>неоднозначную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>макростатистику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>: PMI в промышленном секторе в большинстве регионов не дотянул до прогнозов, хотя и находился выше 50 пунктов – водораздела между ростом и стагнацией. Стимулирующие программы здесь пока находятся на стадии запуска и еще не оказывают влияния на макроэкономические показатели.</w:t>
                              </w:r>
                            </w:p>
                            <w:p w:rsidR="000C14AD" w:rsidRDefault="000C14AD">
                              <w:pPr>
                                <w:jc w:val="both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</w:p>
                            <w:p w:rsidR="000C14AD" w:rsidRDefault="000C14AD">
                              <w:pPr>
                                <w:rPr>
                                  <w:color w:val="1F497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В рублевом сегменте мы продолжаем верить в акции экспортеров сырья, особенно выделяя отдельные компании черной металлургии. Несмотря на снижение объемов продаж и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>стагнирующие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 цены на металлопродукцию, ослабление рубля вывело рентабельность на максимальные с 2009 года уровни. Мы считаем, что даже в очень благоприятном сценарии потенциал для укрепления рубля сильно ограничен, а долгосрочный тренд на его ослабление сохраняется. Следовательно, потенциал для роста акций в секторе сохраняется. Альтернативами черной металлургии на российском рынке остаются акции нефтегазового сектора и производителей минеральных удобрений.</w:t>
                              </w:r>
                            </w:p>
                            <w:p w:rsidR="000C14AD" w:rsidRDefault="000C14AD">
                              <w:pPr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0C14AD" w:rsidRDefault="000C14A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облигаций</w:t>
                              </w:r>
                            </w:p>
                            <w:p w:rsidR="000C14AD" w:rsidRDefault="000C14AD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3" name="Рисунок 3" descr="cid:image004.jpg@01CE7BFE.B94C54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id:image004.jpg@01CE7BFE.B94C54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r:link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C14AD" w:rsidRDefault="000C14A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Алексей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Губин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,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аналитик УК «Альфа-Капитал»</w:t>
                              </w:r>
                            </w:p>
                            <w:p w:rsidR="000C14AD" w:rsidRDefault="000C14AD"/>
                            <w:p w:rsidR="000C14AD" w:rsidRDefault="000C14AD">
                              <w:pPr>
                                <w:pStyle w:val="a6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Рублевые облигации</w:t>
                              </w:r>
                            </w:p>
                            <w:p w:rsidR="000C14AD" w:rsidRDefault="000C14AD">
                              <w:pPr>
                                <w:pStyle w:val="a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Активность на прошлой неделе в рублевом сегменте облигационного рынка была невысокой, а котировки продолжили понемногу сползать вниз. Доходность ОФЗ 26207 выросла на 0,15 п.п. и на текущий момент составляет около 9,5%. Мы также стараемся воздерживаться от активных операций по портфелю, понимая, что на неликвидном рынке можно гораздо больше потерять на перекладках, чем выгадать от оптимизации портфеля. </w:t>
                              </w:r>
                            </w:p>
                            <w:p w:rsidR="000C14AD" w:rsidRDefault="000C14AD">
                              <w:pPr>
                                <w:pStyle w:val="a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Из примечательных событий прошлой недели стоит отметить первые за несколько месяцев интервенции ЦБ на валютном рынке. Стоит отметить, что интервенции не привели к росту рублевых ставок по валютным свопам (3 мес. своп сейчас около 7,5%), что объясняется дефицитом долларовой ликвидности. Ставки денежного рынка между тем высоки, тот же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MosPrime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M</w:t>
                              </w:r>
                              <w:r w:rsidRPr="000C14AD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держится около 10,5%. В этих условиях высокие ставки денежного рынка уже не приводят к закрытию спекулятивных позиций против рубля. Это означает, что, пока не будет решена проблема долларовой ликвидности, рубль может и дальше слабеть, а рублевые ставки – подрастать.</w:t>
                              </w:r>
                            </w:p>
                            <w:p w:rsidR="000C14AD" w:rsidRDefault="000C14AD">
                              <w:pPr>
                                <w:pStyle w:val="a4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0C14AD" w:rsidRDefault="000C14A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</w:rPr>
                                <w:t>Еврооблигации</w:t>
                              </w:r>
                            </w:p>
                            <w:p w:rsidR="000C14AD" w:rsidRDefault="000C14AD">
                              <w:pPr>
                                <w:pStyle w:val="a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На евробондах всю прошлую неделю мы также наблюдали вялотекущую негативную динамику. В частности, суверенный выпуск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Russia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30 потерял в цене примерно 0,75 п.п. (торгуется сейчас с доходностью 4,9%). Здесь помимо отношения инвесторов к рискам развивающихся стран вообще и России в частности могли сыграть растущие ожидания повышения ставок ФРС.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Свежая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макростатистика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, в частности по рынку труда США, только добавила аргументов в эту пользу. </w:t>
                              </w:r>
                            </w:p>
                            <w:p w:rsidR="000C14AD" w:rsidRDefault="000C14AD">
                              <w:pPr>
                                <w:pStyle w:val="a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На наш взгляд, стоит присмотреться к ценным бумагам МТС, в частности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МТС-20: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рейтинг инвестиционного уровня, сильный кредит и доходность более 7% в долларах США. Бумаги компании подверглись распродаже на новостях, связанных с АФК Система, хотя они на кредитное качество МТС имеет очень опосредованное влияние.</w:t>
                              </w:r>
                            </w:p>
                            <w:p w:rsidR="000C14AD" w:rsidRDefault="000C14AD">
                              <w:pPr>
                                <w:pStyle w:val="a4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0C14AD" w:rsidRDefault="000C14AD">
                              <w:pPr>
                                <w:pStyle w:val="a00"/>
                                <w:spacing w:before="80" w:beforeAutospacing="0" w:after="0" w:afterAutospacing="0"/>
                                <w:jc w:val="both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0C14AD" w:rsidRDefault="000C14AD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сырьевых товаров</w:t>
                              </w:r>
                            </w:p>
                            <w:p w:rsidR="000C14AD" w:rsidRDefault="000C14AD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4" name="Рисунок 4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r:link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C14AD" w:rsidRDefault="000C14A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0C14AD" w:rsidRDefault="000C14AD">
                              <w:pPr>
                                <w:pStyle w:val="a4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0C14AD" w:rsidRDefault="000C14AD">
                              <w:pPr>
                                <w:pStyle w:val="a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Цена нефти продолжает снижаться. Если подробно разобраться в причинах, то, во-первых,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lastRenderedPageBreak/>
                                <w:t xml:space="preserve">ОПЕК продолжил в сентябре наращивать объемы добычи, несмотря на ожидания снижения производства, во-вторых, США по мере роста собственной добычи отказываются от поставок нефти странами ОПЕК. К примеру, Нигерия больше не поставляет высококачественную нефть в США впервые с 1973 года. Понятно, что эта нефть идет на другие направления. Еще одной причиной снижения цен является укрепление доллара, что привело к распродажам по всем сырьевым товарам. </w:t>
                              </w:r>
                            </w:p>
                            <w:p w:rsidR="000C14AD" w:rsidRDefault="000C14AD">
                              <w:pPr>
                                <w:pStyle w:val="a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Золото по итогам недели подешевело на 2,2%. Инвестиции в золото – в текущей ситуации игра против доллара, который продолжает показывать рост. Индекс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DXY</w:t>
                              </w:r>
                              <w:r w:rsidRPr="000C14AD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за неделю вырос на 1,2%. Доллар укрепляется на хорошей статистике по рынку труда. Безработица в США снизилась до 5,9%, в сентябре было создано 248 тыс. рабочих мест в несельскохозяйственных секторах экономики. Еще более чувствительным к укреплению доллара было серебро, которое по итогам недели подешевело на 4,6%.</w:t>
                              </w:r>
                            </w:p>
                            <w:p w:rsidR="000C14AD" w:rsidRDefault="000C14A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0C14AD" w:rsidRDefault="000C14A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0C14AD" w:rsidRDefault="000C14AD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C14AD" w:rsidRDefault="000C14AD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</w:tbl>
                <w:p w:rsidR="000C14AD" w:rsidRDefault="000C14A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</w:rPr>
                    <w:lastRenderedPageBreak/>
                    <w:drawing>
                      <wp:inline distT="0" distB="0" distL="0" distR="0">
                        <wp:extent cx="6666865" cy="765810"/>
                        <wp:effectExtent l="19050" t="0" r="635" b="0"/>
                        <wp:docPr id="5" name="Рисунок 5" descr="cid:image004.gif@01CF1B7C.B25E1A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id:image004.gif@01CF1B7C.B25E1A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6865" cy="765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14AD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14AD" w:rsidRDefault="000C14AD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0C14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14AD" w:rsidRDefault="000C14AD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0C14AD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14AD" w:rsidRDefault="000C14AD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0C14AD" w:rsidRDefault="000C14A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Align w:val="center"/>
            <w:hideMark/>
          </w:tcPr>
          <w:p w:rsidR="000C14AD" w:rsidRDefault="000C14AD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0C14AD" w:rsidRDefault="000C14AD" w:rsidP="000C14AD">
      <w:pPr>
        <w:rPr>
          <w:sz w:val="24"/>
          <w:szCs w:val="24"/>
        </w:rPr>
      </w:pPr>
      <w:r>
        <w:rPr>
          <w:rFonts w:ascii="Arial" w:hAnsi="Arial" w:cs="Arial"/>
          <w:sz w:val="26"/>
          <w:szCs w:val="26"/>
        </w:rPr>
        <w:lastRenderedPageBreak/>
        <w:t> </w:t>
      </w:r>
    </w:p>
    <w:p w:rsidR="000C14AD" w:rsidRDefault="000C14AD" w:rsidP="000C14AD">
      <w:r>
        <w:rPr>
          <w:rFonts w:ascii="Arial" w:hAnsi="Arial" w:cs="Arial"/>
          <w:sz w:val="26"/>
          <w:szCs w:val="26"/>
        </w:rPr>
        <w:t> </w:t>
      </w:r>
    </w:p>
    <w:p w:rsidR="000C14AD" w:rsidRDefault="000C14AD" w:rsidP="000C14AD">
      <w:r>
        <w:rPr>
          <w:rFonts w:ascii="Arial" w:hAnsi="Arial" w:cs="Arial"/>
          <w:sz w:val="26"/>
          <w:szCs w:val="26"/>
        </w:rPr>
        <w:t> </w:t>
      </w:r>
    </w:p>
    <w:p w:rsidR="009F4401" w:rsidRPr="00BD6512" w:rsidRDefault="00BD6512" w:rsidP="00BD65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9F4401" w:rsidRPr="00BD6512" w:rsidSect="000C14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6512"/>
    <w:rsid w:val="000C14AD"/>
    <w:rsid w:val="0071666C"/>
    <w:rsid w:val="00BA6D20"/>
    <w:rsid w:val="00BD6512"/>
    <w:rsid w:val="00D2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12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0C14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3">
    <w:name w:val="А Текст Знак"/>
    <w:basedOn w:val="a0"/>
    <w:link w:val="a4"/>
    <w:locked/>
    <w:rsid w:val="000C14AD"/>
    <w:rPr>
      <w:rFonts w:ascii="Arial Narrow" w:hAnsi="Arial Narrow"/>
    </w:rPr>
  </w:style>
  <w:style w:type="paragraph" w:customStyle="1" w:styleId="a4">
    <w:name w:val="А Текст"/>
    <w:basedOn w:val="a"/>
    <w:link w:val="a3"/>
    <w:rsid w:val="000C14AD"/>
    <w:pPr>
      <w:spacing w:before="80"/>
      <w:jc w:val="both"/>
    </w:pPr>
    <w:rPr>
      <w:rFonts w:ascii="Arial Narrow" w:hAnsi="Arial Narrow" w:cstheme="minorBidi"/>
      <w:lang w:eastAsia="en-US"/>
    </w:rPr>
  </w:style>
  <w:style w:type="character" w:customStyle="1" w:styleId="a5">
    <w:name w:val="А_ПОДЗАГОЛОВОК Знак"/>
    <w:basedOn w:val="a0"/>
    <w:link w:val="a6"/>
    <w:locked/>
    <w:rsid w:val="000C14AD"/>
    <w:rPr>
      <w:rFonts w:ascii="Arial" w:hAnsi="Arial" w:cs="Arial"/>
      <w:b/>
      <w:bCs/>
      <w:color w:val="FF0000"/>
    </w:rPr>
  </w:style>
  <w:style w:type="paragraph" w:customStyle="1" w:styleId="a6">
    <w:name w:val="А_ПОДЗАГОЛОВОК"/>
    <w:basedOn w:val="a"/>
    <w:link w:val="a5"/>
    <w:rsid w:val="000C14AD"/>
    <w:rPr>
      <w:rFonts w:ascii="Arial" w:hAnsi="Arial" w:cs="Arial"/>
      <w:b/>
      <w:bCs/>
      <w:color w:val="FF000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C14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4A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jpg@01CFE17E.DD7428E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4.gif@01CFE17E.DD7428E0" TargetMode="External"/><Relationship Id="rId5" Type="http://schemas.openxmlformats.org/officeDocument/2006/relationships/image" Target="cid:image001.jpg@01CFE17E.DD7428E0" TargetMode="External"/><Relationship Id="rId10" Type="http://schemas.openxmlformats.org/officeDocument/2006/relationships/image" Target="media/image4.gif"/><Relationship Id="rId4" Type="http://schemas.openxmlformats.org/officeDocument/2006/relationships/image" Target="media/image1.jpeg"/><Relationship Id="rId9" Type="http://schemas.openxmlformats.org/officeDocument/2006/relationships/image" Target="cid:image003.jpg@01CFE17E.DD7428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Savochkina</dc:creator>
  <cp:lastModifiedBy>Savochkina</cp:lastModifiedBy>
  <cp:revision>1</cp:revision>
  <dcterms:created xsi:type="dcterms:W3CDTF">2014-10-06T09:59:00Z</dcterms:created>
  <dcterms:modified xsi:type="dcterms:W3CDTF">2014-10-06T12:08:00Z</dcterms:modified>
</cp:coreProperties>
</file>