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71" w:rsidRPr="001E2871" w:rsidRDefault="00436E8B">
      <w:pPr>
        <w:rPr>
          <w:rFonts w:ascii="Times New Roman" w:hAnsi="Times New Roman" w:cs="Times New Roman"/>
          <w:sz w:val="32"/>
          <w:szCs w:val="32"/>
        </w:rPr>
      </w:pPr>
      <w:r w:rsidRPr="00F7285B">
        <w:rPr>
          <w:rFonts w:ascii="Times New Roman" w:hAnsi="Times New Roman" w:cs="Times New Roman"/>
          <w:sz w:val="32"/>
          <w:szCs w:val="32"/>
        </w:rPr>
        <w:t>Еженедельный фундаментальный обзор финансовых рынков.</w:t>
      </w:r>
    </w:p>
    <w:p w:rsidR="001E2871" w:rsidRDefault="001E2871">
      <w:pPr>
        <w:rPr>
          <w:rFonts w:ascii="Times New Roman" w:hAnsi="Times New Roman" w:cs="Times New Roman"/>
          <w:sz w:val="24"/>
          <w:szCs w:val="24"/>
        </w:rPr>
      </w:pPr>
      <w:r w:rsidRPr="001E2871">
        <w:rPr>
          <w:rFonts w:ascii="Times New Roman" w:hAnsi="Times New Roman" w:cs="Times New Roman"/>
          <w:sz w:val="24"/>
          <w:szCs w:val="24"/>
        </w:rPr>
        <w:t>Достаточно любопытная торгов</w:t>
      </w:r>
      <w:r w:rsidR="00A4682A">
        <w:rPr>
          <w:rFonts w:ascii="Times New Roman" w:hAnsi="Times New Roman" w:cs="Times New Roman"/>
          <w:sz w:val="24"/>
          <w:szCs w:val="24"/>
        </w:rPr>
        <w:t>а</w:t>
      </w:r>
      <w:r w:rsidRPr="001E2871">
        <w:rPr>
          <w:rFonts w:ascii="Times New Roman" w:hAnsi="Times New Roman" w:cs="Times New Roman"/>
          <w:sz w:val="24"/>
          <w:szCs w:val="24"/>
        </w:rPr>
        <w:t xml:space="preserve">я неделя выдалась у нас с вами. </w:t>
      </w:r>
      <w:r>
        <w:rPr>
          <w:rFonts w:ascii="Times New Roman" w:hAnsi="Times New Roman" w:cs="Times New Roman"/>
          <w:sz w:val="24"/>
          <w:szCs w:val="24"/>
        </w:rPr>
        <w:t xml:space="preserve">Давненько мы не могли сказать, что на прошедшей неделе спрос на риск восстанавливался, причем в ее начале это восстановление было достаточно существенным, в частности пара евродоллар даже поднималась выше отметки 1.35, что уже само по себе достаточно значительный факт на таком сильном медвежьем рынке. </w:t>
      </w:r>
      <w:r w:rsidR="00A4682A">
        <w:rPr>
          <w:rFonts w:ascii="Times New Roman" w:hAnsi="Times New Roman" w:cs="Times New Roman"/>
          <w:sz w:val="24"/>
          <w:szCs w:val="24"/>
        </w:rPr>
        <w:t xml:space="preserve">Ключевым вопросом для рынков продолжает оставаться европейский долговой кризис, который постепенно перешел уже в  фазу кризиса доверия, когда банки не доверяют друг другу, соответственно, не кредитуют, предпочитая излишки отдавать на депозиты в ЕЦБ. Прошедшее же на неделе восстановление рынков можно считать не более чем коррекцией, которая стала и станет хорошей возможностью для открытия новых шортов. </w:t>
      </w:r>
    </w:p>
    <w:p w:rsidR="00A4682A" w:rsidRDefault="009706C4">
      <w:pPr>
        <w:rPr>
          <w:rFonts w:ascii="Times New Roman" w:hAnsi="Times New Roman" w:cs="Times New Roman"/>
          <w:sz w:val="24"/>
          <w:szCs w:val="24"/>
        </w:rPr>
      </w:pPr>
      <w:r>
        <w:rPr>
          <w:rFonts w:ascii="Times New Roman" w:hAnsi="Times New Roman" w:cs="Times New Roman"/>
          <w:sz w:val="24"/>
          <w:szCs w:val="24"/>
        </w:rPr>
        <w:t>Все внимание финансовых рынков сейчас будет сконцентрировано на грядущем саммите лидеров стран ЕС, который пройдет 9 декабря. Во многом от его результатов и будут зависеть среднесрочные перспективы единой европейской валюты, да и вообще рисковых активов.  Рынки ожидают какого-то прорыва относительно европейского кризиса, в частности</w:t>
      </w:r>
      <w:r w:rsidR="00500CFC">
        <w:rPr>
          <w:rFonts w:ascii="Times New Roman" w:hAnsi="Times New Roman" w:cs="Times New Roman"/>
          <w:sz w:val="24"/>
          <w:szCs w:val="24"/>
        </w:rPr>
        <w:t>,</w:t>
      </w:r>
      <w:r>
        <w:rPr>
          <w:rFonts w:ascii="Times New Roman" w:hAnsi="Times New Roman" w:cs="Times New Roman"/>
          <w:sz w:val="24"/>
          <w:szCs w:val="24"/>
        </w:rPr>
        <w:t xml:space="preserve"> все ждут каких-либо конкретных и революционных решений от сильнейших экономик еврозоны: Германии и Франции, которые обещали к 9 декабря предоставить подробный план вывода ЕС из проблем. В случае же, а я больше склоняюсь к этому, если мы не увидим каких-либо реальных и конкретных согласованных действий</w:t>
      </w:r>
      <w:r w:rsidR="003B7A24">
        <w:rPr>
          <w:rFonts w:ascii="Times New Roman" w:hAnsi="Times New Roman" w:cs="Times New Roman"/>
          <w:sz w:val="24"/>
          <w:szCs w:val="24"/>
        </w:rPr>
        <w:t xml:space="preserve"> по преодолению европейского долгового кризиса, то повышательное рождественское ралли рынков придется отложить. </w:t>
      </w:r>
    </w:p>
    <w:p w:rsidR="00EC57B4" w:rsidRDefault="00EC57B4">
      <w:pPr>
        <w:rPr>
          <w:rFonts w:ascii="Times New Roman" w:hAnsi="Times New Roman" w:cs="Times New Roman"/>
          <w:sz w:val="24"/>
          <w:szCs w:val="24"/>
        </w:rPr>
      </w:pPr>
      <w:r>
        <w:rPr>
          <w:rFonts w:ascii="Times New Roman" w:hAnsi="Times New Roman" w:cs="Times New Roman"/>
          <w:sz w:val="24"/>
          <w:szCs w:val="24"/>
        </w:rPr>
        <w:t>В рамках текущего еженедельного обзора предлагаю перейти к итогам недели по ведущим мировым экономикам, посмотрим и проанализируем те события, которые происходили и как они повлияли на финансовые рынки.</w:t>
      </w:r>
    </w:p>
    <w:p w:rsidR="00EC57B4" w:rsidRDefault="00B14473">
      <w:pPr>
        <w:rPr>
          <w:rFonts w:ascii="Times New Roman" w:hAnsi="Times New Roman" w:cs="Times New Roman"/>
          <w:sz w:val="24"/>
          <w:szCs w:val="24"/>
        </w:rPr>
      </w:pPr>
      <w:proofErr w:type="gramStart"/>
      <w:r>
        <w:rPr>
          <w:rFonts w:ascii="Times New Roman" w:hAnsi="Times New Roman" w:cs="Times New Roman"/>
          <w:sz w:val="24"/>
          <w:szCs w:val="24"/>
        </w:rPr>
        <w:t>В Японии выходили достаточно разнонаправленные статистические данные, промышленное производство в октябре подросло на 0.4%, по году прирост составил 2.4%, что существенно лучше сентябрьских данных, когда мы упали аж на 3.3%. Розничные продажи Японии продемонстрировали позитив, годовой прирост ускорился и уже составил 1.9%. Данные же по безработице оказались разочаровывающими, показатель вырос до отметки 4.5%, что существенно выше как предыдущих цифр, так</w:t>
      </w:r>
      <w:proofErr w:type="gramEnd"/>
      <w:r>
        <w:rPr>
          <w:rFonts w:ascii="Times New Roman" w:hAnsi="Times New Roman" w:cs="Times New Roman"/>
          <w:sz w:val="24"/>
          <w:szCs w:val="24"/>
        </w:rPr>
        <w:t xml:space="preserve"> и ожидаемых. В Китае главным событием недели стало решение о снижение резервных требований к банкам на 0.5%, причем решение было сопровождено забавным факт</w:t>
      </w:r>
      <w:r w:rsidR="00500CFC">
        <w:rPr>
          <w:rFonts w:ascii="Times New Roman" w:hAnsi="Times New Roman" w:cs="Times New Roman"/>
          <w:sz w:val="24"/>
          <w:szCs w:val="24"/>
        </w:rPr>
        <w:t>о</w:t>
      </w:r>
      <w:r>
        <w:rPr>
          <w:rFonts w:ascii="Times New Roman" w:hAnsi="Times New Roman" w:cs="Times New Roman"/>
          <w:sz w:val="24"/>
          <w:szCs w:val="24"/>
        </w:rPr>
        <w:t xml:space="preserve">м, когда сначала в информационных системах проскочило сообщение о снижение ставок, а уже потом прошла корректировка, в которой указывалось, что </w:t>
      </w:r>
      <w:r w:rsidR="003F6C4E">
        <w:rPr>
          <w:rFonts w:ascii="Times New Roman" w:hAnsi="Times New Roman" w:cs="Times New Roman"/>
          <w:sz w:val="24"/>
          <w:szCs w:val="24"/>
        </w:rPr>
        <w:t xml:space="preserve">понижены только резервные требования к банкам. В результате мы имеем, похоже, начало цикла смягчения монетарной политики со стороны китайского </w:t>
      </w:r>
      <w:proofErr w:type="spellStart"/>
      <w:r w:rsidR="003F6C4E">
        <w:rPr>
          <w:rFonts w:ascii="Times New Roman" w:hAnsi="Times New Roman" w:cs="Times New Roman"/>
          <w:sz w:val="24"/>
          <w:szCs w:val="24"/>
        </w:rPr>
        <w:t>центробанка</w:t>
      </w:r>
      <w:proofErr w:type="spellEnd"/>
      <w:r w:rsidR="003F6C4E">
        <w:rPr>
          <w:rFonts w:ascii="Times New Roman" w:hAnsi="Times New Roman" w:cs="Times New Roman"/>
          <w:sz w:val="24"/>
          <w:szCs w:val="24"/>
        </w:rPr>
        <w:t>, крайне вероятно, что уже в ближайшее время последуют и более существенные действия, в частности, снижение уже самой ставки. Ситуация в экономики поднебесной ухудшается, инфляция  стабилизировалась, а значит, вполне резонно было бы осуществить какое-либо стимулирование. Для финансовых рынков это позитивные вести.</w:t>
      </w:r>
    </w:p>
    <w:p w:rsidR="00603A5F" w:rsidRDefault="00603A5F" w:rsidP="00603A5F">
      <w:pPr>
        <w:jc w:val="center"/>
        <w:rPr>
          <w:rFonts w:ascii="Times New Roman" w:hAnsi="Times New Roman" w:cs="Times New Roman"/>
          <w:sz w:val="24"/>
          <w:szCs w:val="24"/>
        </w:rPr>
      </w:pPr>
      <w:r w:rsidRPr="00603A5F">
        <w:rPr>
          <w:rFonts w:ascii="Times New Roman" w:hAnsi="Times New Roman" w:cs="Times New Roman"/>
          <w:sz w:val="24"/>
          <w:szCs w:val="24"/>
        </w:rPr>
        <w:lastRenderedPageBreak/>
        <w:drawing>
          <wp:inline distT="0" distB="0" distL="0" distR="0">
            <wp:extent cx="4495800" cy="369570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F6C4E" w:rsidRDefault="00B34ED6">
      <w:pPr>
        <w:rPr>
          <w:rFonts w:ascii="Times New Roman" w:hAnsi="Times New Roman" w:cs="Times New Roman"/>
          <w:sz w:val="24"/>
          <w:szCs w:val="24"/>
        </w:rPr>
      </w:pPr>
      <w:r>
        <w:rPr>
          <w:rFonts w:ascii="Times New Roman" w:hAnsi="Times New Roman" w:cs="Times New Roman"/>
          <w:sz w:val="24"/>
          <w:szCs w:val="24"/>
        </w:rPr>
        <w:t xml:space="preserve">В Великобритании неделя была не особо насыщена на события, скорее выходили средние и не очень существенные статистические показатели. Индекс розничных продаж конфедерации британской промышленности упал до минимальных значений с 2009 года, все снова говорит о том, что проблемы в экономике нарастают. Более важным для рынков являлись те или иные выступления представителей Банка Англии, одна сторона выступает всецело за новые стимулы, другая этому противится, в этом вопросе пока ясности нет, но если пойдет  стабилизация инфляционного давления, а в то же время роста экономики не будет, то какие-либо стимулы крайне вероятны. Выделить также стоит выступление главы БА Кинга, который неожиданно заявил, что британская экономика нуждается в плане на случай развала еврозоны. </w:t>
      </w:r>
      <w:r w:rsidR="002D76DF">
        <w:rPr>
          <w:rFonts w:ascii="Times New Roman" w:hAnsi="Times New Roman" w:cs="Times New Roman"/>
          <w:sz w:val="24"/>
          <w:szCs w:val="24"/>
        </w:rPr>
        <w:t>Похоже,</w:t>
      </w:r>
      <w:r>
        <w:rPr>
          <w:rFonts w:ascii="Times New Roman" w:hAnsi="Times New Roman" w:cs="Times New Roman"/>
          <w:sz w:val="24"/>
          <w:szCs w:val="24"/>
        </w:rPr>
        <w:t xml:space="preserve"> во многих регионах начинают готовиться к большим проблемам в Европе, но британцы первые, из крупнейших стран, заявили прямо, что, е</w:t>
      </w:r>
      <w:r w:rsidR="00DB73B7">
        <w:rPr>
          <w:rFonts w:ascii="Times New Roman" w:hAnsi="Times New Roman" w:cs="Times New Roman"/>
          <w:sz w:val="24"/>
          <w:szCs w:val="24"/>
        </w:rPr>
        <w:t>с</w:t>
      </w:r>
      <w:r>
        <w:rPr>
          <w:rFonts w:ascii="Times New Roman" w:hAnsi="Times New Roman" w:cs="Times New Roman"/>
          <w:sz w:val="24"/>
          <w:szCs w:val="24"/>
        </w:rPr>
        <w:t xml:space="preserve">ли не ждут, то имеют </w:t>
      </w:r>
      <w:proofErr w:type="gramStart"/>
      <w:r>
        <w:rPr>
          <w:rFonts w:ascii="Times New Roman" w:hAnsi="Times New Roman" w:cs="Times New Roman"/>
          <w:sz w:val="24"/>
          <w:szCs w:val="24"/>
        </w:rPr>
        <w:t>ввиду</w:t>
      </w:r>
      <w:proofErr w:type="gramEnd"/>
      <w:r>
        <w:rPr>
          <w:rFonts w:ascii="Times New Roman" w:hAnsi="Times New Roman" w:cs="Times New Roman"/>
          <w:sz w:val="24"/>
          <w:szCs w:val="24"/>
        </w:rPr>
        <w:t xml:space="preserve"> такой сценарий. </w:t>
      </w:r>
      <w:r w:rsidR="00DB73B7">
        <w:rPr>
          <w:rFonts w:ascii="Times New Roman" w:hAnsi="Times New Roman" w:cs="Times New Roman"/>
          <w:sz w:val="24"/>
          <w:szCs w:val="24"/>
        </w:rPr>
        <w:t xml:space="preserve">На мой взгляд, это не более чем игры в данном случае, британцы накаляют ситуацию на рынках, чтобы спровоцировать европейские власти, ЕЦБ, МВФ вмешаться и наконец-то </w:t>
      </w:r>
      <w:proofErr w:type="spellStart"/>
      <w:r w:rsidR="00DB73B7">
        <w:rPr>
          <w:rFonts w:ascii="Times New Roman" w:hAnsi="Times New Roman" w:cs="Times New Roman"/>
          <w:sz w:val="24"/>
          <w:szCs w:val="24"/>
        </w:rPr>
        <w:t>разрулить</w:t>
      </w:r>
      <w:proofErr w:type="spellEnd"/>
      <w:r w:rsidR="00DB73B7">
        <w:rPr>
          <w:rFonts w:ascii="Times New Roman" w:hAnsi="Times New Roman" w:cs="Times New Roman"/>
          <w:sz w:val="24"/>
          <w:szCs w:val="24"/>
        </w:rPr>
        <w:t xml:space="preserve"> все одним махом</w:t>
      </w:r>
      <w:proofErr w:type="gramStart"/>
      <w:r w:rsidR="00DB73B7">
        <w:rPr>
          <w:rFonts w:ascii="Times New Roman" w:hAnsi="Times New Roman" w:cs="Times New Roman"/>
          <w:sz w:val="24"/>
          <w:szCs w:val="24"/>
        </w:rPr>
        <w:t>.</w:t>
      </w:r>
      <w:proofErr w:type="gramEnd"/>
      <w:r w:rsidR="00DB73B7">
        <w:rPr>
          <w:rFonts w:ascii="Times New Roman" w:hAnsi="Times New Roman" w:cs="Times New Roman"/>
          <w:sz w:val="24"/>
          <w:szCs w:val="24"/>
        </w:rPr>
        <w:t xml:space="preserve">  </w:t>
      </w:r>
      <w:proofErr w:type="gramStart"/>
      <w:r w:rsidR="00DB73B7">
        <w:rPr>
          <w:rFonts w:ascii="Times New Roman" w:hAnsi="Times New Roman" w:cs="Times New Roman"/>
          <w:sz w:val="24"/>
          <w:szCs w:val="24"/>
        </w:rPr>
        <w:t>Как бы не было</w:t>
      </w:r>
      <w:proofErr w:type="gramEnd"/>
      <w:r w:rsidR="00DB73B7">
        <w:rPr>
          <w:rFonts w:ascii="Times New Roman" w:hAnsi="Times New Roman" w:cs="Times New Roman"/>
          <w:sz w:val="24"/>
          <w:szCs w:val="24"/>
        </w:rPr>
        <w:t xml:space="preserve"> вреда, как говорится.</w:t>
      </w:r>
    </w:p>
    <w:p w:rsidR="00DB73B7" w:rsidRDefault="007B4EB3">
      <w:pPr>
        <w:rPr>
          <w:rFonts w:ascii="Times New Roman" w:hAnsi="Times New Roman" w:cs="Times New Roman"/>
          <w:sz w:val="24"/>
          <w:szCs w:val="24"/>
        </w:rPr>
      </w:pPr>
      <w:r>
        <w:rPr>
          <w:rFonts w:ascii="Times New Roman" w:hAnsi="Times New Roman" w:cs="Times New Roman"/>
          <w:sz w:val="24"/>
          <w:szCs w:val="24"/>
        </w:rPr>
        <w:t xml:space="preserve">Европейская тема на рынках сейчас является главенствующей, именно к ней приковано все внимание, причем сразу по всем фронтам. Выходящие статистические показатели трактуются рынками по отношению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будущей денежно-кредитной политики, ситуация на долговых рынках отражает общие настроения инвесторов, а те или иные политические заявления позволяют ориентироваться на будущее развитие событий.  Статистических показателей в еврозоне на неделе было достаточно </w:t>
      </w:r>
      <w:r w:rsidR="0039792E">
        <w:rPr>
          <w:rFonts w:ascii="Times New Roman" w:hAnsi="Times New Roman" w:cs="Times New Roman"/>
          <w:sz w:val="24"/>
          <w:szCs w:val="24"/>
        </w:rPr>
        <w:t>много,</w:t>
      </w:r>
      <w:r>
        <w:rPr>
          <w:rFonts w:ascii="Times New Roman" w:hAnsi="Times New Roman" w:cs="Times New Roman"/>
          <w:sz w:val="24"/>
          <w:szCs w:val="24"/>
        </w:rPr>
        <w:t xml:space="preserve"> и выходили они немного даже позитивно. </w:t>
      </w:r>
      <w:r w:rsidR="0039792E">
        <w:rPr>
          <w:rFonts w:ascii="Times New Roman" w:hAnsi="Times New Roman" w:cs="Times New Roman"/>
          <w:sz w:val="24"/>
          <w:szCs w:val="24"/>
        </w:rPr>
        <w:t xml:space="preserve">В Германии были опубликованы цифры по розничным продажам, которые в октябре подросли на 0.7%, что существенно выше сентябрьских данных. Индекс потребительских настроений в Германии подрос, в то время как в еврозоне деловые настроения ухудшаются. </w:t>
      </w:r>
      <w:proofErr w:type="gramStart"/>
      <w:r w:rsidR="0039792E">
        <w:rPr>
          <w:rFonts w:ascii="Times New Roman" w:hAnsi="Times New Roman" w:cs="Times New Roman"/>
          <w:sz w:val="24"/>
          <w:szCs w:val="24"/>
        </w:rPr>
        <w:t>Вышли данные по безработиц</w:t>
      </w:r>
      <w:r w:rsidR="00EB2546">
        <w:rPr>
          <w:rFonts w:ascii="Times New Roman" w:hAnsi="Times New Roman" w:cs="Times New Roman"/>
          <w:sz w:val="24"/>
          <w:szCs w:val="24"/>
        </w:rPr>
        <w:t>е</w:t>
      </w:r>
      <w:r w:rsidR="0039792E">
        <w:rPr>
          <w:rFonts w:ascii="Times New Roman" w:hAnsi="Times New Roman" w:cs="Times New Roman"/>
          <w:sz w:val="24"/>
          <w:szCs w:val="24"/>
        </w:rPr>
        <w:t xml:space="preserve"> еврозоны, которая выросла к максимальным за более чем 10 лет значениям 10.3%. Инфляция же постепенно </w:t>
      </w:r>
      <w:r w:rsidR="0039792E">
        <w:rPr>
          <w:rFonts w:ascii="Times New Roman" w:hAnsi="Times New Roman" w:cs="Times New Roman"/>
          <w:sz w:val="24"/>
          <w:szCs w:val="24"/>
        </w:rPr>
        <w:lastRenderedPageBreak/>
        <w:t>стабилизируется, в частности, производственные цены в еврозоне выросли лишь на 0.1%, по году прирост составил 5.5%, потребительская инфляция по году составила 3.0%.  В Германии также с инфляцией все стабильно, за месяц она оказалась неизменна, а по году прирост составил 2.8%.  В</w:t>
      </w:r>
      <w:proofErr w:type="gramEnd"/>
      <w:r w:rsidR="0039792E">
        <w:rPr>
          <w:rFonts w:ascii="Times New Roman" w:hAnsi="Times New Roman" w:cs="Times New Roman"/>
          <w:sz w:val="24"/>
          <w:szCs w:val="24"/>
        </w:rPr>
        <w:t xml:space="preserve"> </w:t>
      </w:r>
      <w:proofErr w:type="gramStart"/>
      <w:r w:rsidR="0039792E">
        <w:rPr>
          <w:rFonts w:ascii="Times New Roman" w:hAnsi="Times New Roman" w:cs="Times New Roman"/>
          <w:sz w:val="24"/>
          <w:szCs w:val="24"/>
        </w:rPr>
        <w:t>результате</w:t>
      </w:r>
      <w:proofErr w:type="gramEnd"/>
      <w:r w:rsidR="0039792E">
        <w:rPr>
          <w:rFonts w:ascii="Times New Roman" w:hAnsi="Times New Roman" w:cs="Times New Roman"/>
          <w:sz w:val="24"/>
          <w:szCs w:val="24"/>
        </w:rPr>
        <w:t xml:space="preserve"> мы имеем усиление безработицы на фоне стабильной инфляции, а значит,  все говорит о том, что денежно-кредитная политика будет смягчена, в частности, уже на этой недели на заседание ЕЦБ следует ждать понижения ставок.</w:t>
      </w:r>
    </w:p>
    <w:p w:rsidR="00891D55" w:rsidRDefault="00891D55" w:rsidP="00891D55">
      <w:pPr>
        <w:jc w:val="center"/>
        <w:rPr>
          <w:rFonts w:ascii="Times New Roman" w:hAnsi="Times New Roman" w:cs="Times New Roman"/>
          <w:sz w:val="24"/>
          <w:szCs w:val="24"/>
        </w:rPr>
      </w:pPr>
      <w:r w:rsidRPr="00891D55">
        <w:rPr>
          <w:rFonts w:ascii="Times New Roman" w:hAnsi="Times New Roman" w:cs="Times New Roman"/>
          <w:sz w:val="24"/>
          <w:szCs w:val="24"/>
        </w:rPr>
        <w:drawing>
          <wp:inline distT="0" distB="0" distL="0" distR="0">
            <wp:extent cx="4581525" cy="3257550"/>
            <wp:effectExtent l="19050" t="0" r="9525"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9792E" w:rsidRDefault="003D43F9">
      <w:pPr>
        <w:rPr>
          <w:rFonts w:ascii="Times New Roman" w:hAnsi="Times New Roman" w:cs="Times New Roman"/>
          <w:sz w:val="24"/>
          <w:szCs w:val="24"/>
        </w:rPr>
      </w:pPr>
      <w:r>
        <w:rPr>
          <w:rFonts w:ascii="Times New Roman" w:hAnsi="Times New Roman" w:cs="Times New Roman"/>
          <w:sz w:val="24"/>
          <w:szCs w:val="24"/>
        </w:rPr>
        <w:t>В</w:t>
      </w:r>
      <w:r w:rsidR="00756390">
        <w:rPr>
          <w:rFonts w:ascii="Times New Roman" w:hAnsi="Times New Roman" w:cs="Times New Roman"/>
          <w:sz w:val="24"/>
          <w:szCs w:val="24"/>
        </w:rPr>
        <w:t xml:space="preserve"> условиях ухудшения европейского долгового кризиса, а также перерастания его в кризис доверия, на неделе прошло знаковое событие, которое оказало существенное влияния на рынки. Крупнейшие центральные банки мира (ФРС, ЕЦБ, Банк Англии, Банк Канады, Банк Японии, Национальный банк Швейцарии) провели совместное решение о том, что расширяются возможности </w:t>
      </w:r>
      <w:proofErr w:type="spellStart"/>
      <w:proofErr w:type="gramStart"/>
      <w:r w:rsidR="00756390">
        <w:rPr>
          <w:rFonts w:ascii="Times New Roman" w:hAnsi="Times New Roman" w:cs="Times New Roman"/>
          <w:sz w:val="24"/>
          <w:szCs w:val="24"/>
        </w:rPr>
        <w:t>своп-линий</w:t>
      </w:r>
      <w:proofErr w:type="spellEnd"/>
      <w:proofErr w:type="gramEnd"/>
      <w:r w:rsidR="00756390">
        <w:rPr>
          <w:rFonts w:ascii="Times New Roman" w:hAnsi="Times New Roman" w:cs="Times New Roman"/>
          <w:sz w:val="24"/>
          <w:szCs w:val="24"/>
        </w:rPr>
        <w:t xml:space="preserve">, в частности, теперь каждый центральный банк сможет предоставить ликвидность в любой валюте участвующих в действиях </w:t>
      </w:r>
      <w:proofErr w:type="spellStart"/>
      <w:r w:rsidR="00756390">
        <w:rPr>
          <w:rFonts w:ascii="Times New Roman" w:hAnsi="Times New Roman" w:cs="Times New Roman"/>
          <w:sz w:val="24"/>
          <w:szCs w:val="24"/>
        </w:rPr>
        <w:t>центробанков</w:t>
      </w:r>
      <w:proofErr w:type="spellEnd"/>
      <w:r w:rsidR="00756390">
        <w:rPr>
          <w:rFonts w:ascii="Times New Roman" w:hAnsi="Times New Roman" w:cs="Times New Roman"/>
          <w:sz w:val="24"/>
          <w:szCs w:val="24"/>
        </w:rPr>
        <w:t xml:space="preserve">. </w:t>
      </w:r>
      <w:r w:rsidR="002A7383">
        <w:rPr>
          <w:rFonts w:ascii="Times New Roman" w:hAnsi="Times New Roman" w:cs="Times New Roman"/>
          <w:sz w:val="24"/>
          <w:szCs w:val="24"/>
        </w:rPr>
        <w:t xml:space="preserve">ФРС же пошло еще дальше и снизило </w:t>
      </w:r>
      <w:r>
        <w:rPr>
          <w:rFonts w:ascii="Times New Roman" w:hAnsi="Times New Roman" w:cs="Times New Roman"/>
          <w:sz w:val="24"/>
          <w:szCs w:val="24"/>
        </w:rPr>
        <w:t xml:space="preserve">ставки </w:t>
      </w:r>
      <w:proofErr w:type="gramStart"/>
      <w:r>
        <w:rPr>
          <w:rFonts w:ascii="Times New Roman" w:hAnsi="Times New Roman" w:cs="Times New Roman"/>
          <w:sz w:val="24"/>
          <w:szCs w:val="24"/>
        </w:rPr>
        <w:t>по именно</w:t>
      </w:r>
      <w:proofErr w:type="gramEnd"/>
      <w:r>
        <w:rPr>
          <w:rFonts w:ascii="Times New Roman" w:hAnsi="Times New Roman" w:cs="Times New Roman"/>
          <w:sz w:val="24"/>
          <w:szCs w:val="24"/>
        </w:rPr>
        <w:t xml:space="preserve"> предоставлению долларовой ликвидности на 0.5%, что позволит, в частности,  ЕЦБ теперь выдавать кредиты в долларах по существенно сниженной процентной ставке. Для рынков это стало неожиданным и очень позитивным сигнало</w:t>
      </w:r>
      <w:r w:rsidR="00DF0DF1">
        <w:rPr>
          <w:rFonts w:ascii="Times New Roman" w:hAnsi="Times New Roman" w:cs="Times New Roman"/>
          <w:sz w:val="24"/>
          <w:szCs w:val="24"/>
        </w:rPr>
        <w:t>м</w:t>
      </w:r>
      <w:r>
        <w:rPr>
          <w:rFonts w:ascii="Times New Roman" w:hAnsi="Times New Roman" w:cs="Times New Roman"/>
          <w:sz w:val="24"/>
          <w:szCs w:val="24"/>
        </w:rPr>
        <w:t>, что, впрочем, мы и увидели по движени</w:t>
      </w:r>
      <w:r w:rsidR="00DF0DF1">
        <w:rPr>
          <w:rFonts w:ascii="Times New Roman" w:hAnsi="Times New Roman" w:cs="Times New Roman"/>
          <w:sz w:val="24"/>
          <w:szCs w:val="24"/>
        </w:rPr>
        <w:t>ю</w:t>
      </w:r>
      <w:r>
        <w:rPr>
          <w:rFonts w:ascii="Times New Roman" w:hAnsi="Times New Roman" w:cs="Times New Roman"/>
          <w:sz w:val="24"/>
          <w:szCs w:val="24"/>
        </w:rPr>
        <w:t xml:space="preserve"> курсов тех или иных активов. </w:t>
      </w:r>
      <w:r w:rsidR="00DF0DF1">
        <w:rPr>
          <w:rFonts w:ascii="Times New Roman" w:hAnsi="Times New Roman" w:cs="Times New Roman"/>
          <w:sz w:val="24"/>
          <w:szCs w:val="24"/>
        </w:rPr>
        <w:t xml:space="preserve">Если немного вдуматься в вышеописанные скоординированные действия </w:t>
      </w:r>
      <w:proofErr w:type="spellStart"/>
      <w:r w:rsidR="00DF0DF1">
        <w:rPr>
          <w:rFonts w:ascii="Times New Roman" w:hAnsi="Times New Roman" w:cs="Times New Roman"/>
          <w:sz w:val="24"/>
          <w:szCs w:val="24"/>
        </w:rPr>
        <w:t>центробанков</w:t>
      </w:r>
      <w:proofErr w:type="spellEnd"/>
      <w:r w:rsidR="00DF0DF1">
        <w:rPr>
          <w:rFonts w:ascii="Times New Roman" w:hAnsi="Times New Roman" w:cs="Times New Roman"/>
          <w:sz w:val="24"/>
          <w:szCs w:val="24"/>
        </w:rPr>
        <w:t xml:space="preserve">, то мы видим, что теперь их влияние на рынки существенно возрастет, в частности, если раньше какому-либо ЦБ нужны были средства в другой валюте, то он шел на рынок и брал их, тем самым поддерживая курс этой валюты. Теперь же этого делать просто нет нужды, можно прийти в дружественный ЦБ и взять по сниженным ставкам необходимый объем. Таким образом, мы имеем серьезное увеличение влияния на финансовые рынки со стороны центральных банков, а проще говоря, рынки все больше становятся регулятивными, </w:t>
      </w:r>
      <w:proofErr w:type="spellStart"/>
      <w:r w:rsidR="00DF0DF1">
        <w:rPr>
          <w:rFonts w:ascii="Times New Roman" w:hAnsi="Times New Roman" w:cs="Times New Roman"/>
          <w:sz w:val="24"/>
          <w:szCs w:val="24"/>
        </w:rPr>
        <w:t>по-крайней</w:t>
      </w:r>
      <w:proofErr w:type="spellEnd"/>
      <w:r w:rsidR="00DF0DF1">
        <w:rPr>
          <w:rFonts w:ascii="Times New Roman" w:hAnsi="Times New Roman" w:cs="Times New Roman"/>
          <w:sz w:val="24"/>
          <w:szCs w:val="24"/>
        </w:rPr>
        <w:t xml:space="preserve"> мере возможности к этому точно расширились. </w:t>
      </w:r>
    </w:p>
    <w:p w:rsidR="00DF0DF1" w:rsidRDefault="009A39F6">
      <w:pPr>
        <w:rPr>
          <w:rFonts w:ascii="Times New Roman" w:hAnsi="Times New Roman" w:cs="Times New Roman"/>
          <w:sz w:val="24"/>
          <w:szCs w:val="24"/>
        </w:rPr>
      </w:pPr>
      <w:r>
        <w:rPr>
          <w:rFonts w:ascii="Times New Roman" w:hAnsi="Times New Roman" w:cs="Times New Roman"/>
          <w:sz w:val="24"/>
          <w:szCs w:val="24"/>
        </w:rPr>
        <w:lastRenderedPageBreak/>
        <w:t xml:space="preserve">В свете всех вышеописанных действий, а также </w:t>
      </w:r>
      <w:proofErr w:type="gramStart"/>
      <w:r>
        <w:rPr>
          <w:rFonts w:ascii="Times New Roman" w:hAnsi="Times New Roman" w:cs="Times New Roman"/>
          <w:sz w:val="24"/>
          <w:szCs w:val="24"/>
        </w:rPr>
        <w:t>более менее</w:t>
      </w:r>
      <w:proofErr w:type="gramEnd"/>
      <w:r>
        <w:rPr>
          <w:rFonts w:ascii="Times New Roman" w:hAnsi="Times New Roman" w:cs="Times New Roman"/>
          <w:sz w:val="24"/>
          <w:szCs w:val="24"/>
        </w:rPr>
        <w:t xml:space="preserve"> позитивных статистических данных, рисковые активы, как и единая европейская валюта, сумели на неделе подрасти, демонстрируя принятие риска. Особенно рост был виден на фондовых площадках,  которые </w:t>
      </w:r>
      <w:proofErr w:type="gramStart"/>
      <w:r>
        <w:rPr>
          <w:rFonts w:ascii="Times New Roman" w:hAnsi="Times New Roman" w:cs="Times New Roman"/>
          <w:sz w:val="24"/>
          <w:szCs w:val="24"/>
        </w:rPr>
        <w:t>очень настроены</w:t>
      </w:r>
      <w:proofErr w:type="gramEnd"/>
      <w:r>
        <w:rPr>
          <w:rFonts w:ascii="Times New Roman" w:hAnsi="Times New Roman" w:cs="Times New Roman"/>
          <w:sz w:val="24"/>
          <w:szCs w:val="24"/>
        </w:rPr>
        <w:t xml:space="preserve"> на рождественский рост. Долговые рынки на неделе также подросли, доходности упали, но не так существенно</w:t>
      </w:r>
      <w:r w:rsidR="008F69F8">
        <w:rPr>
          <w:rFonts w:ascii="Times New Roman" w:hAnsi="Times New Roman" w:cs="Times New Roman"/>
          <w:sz w:val="24"/>
          <w:szCs w:val="24"/>
        </w:rPr>
        <w:t xml:space="preserve">, а ближе к концу недели рост снова возобновился. </w:t>
      </w:r>
      <w:r w:rsidR="00CC20DF">
        <w:rPr>
          <w:rFonts w:ascii="Times New Roman" w:hAnsi="Times New Roman" w:cs="Times New Roman"/>
          <w:sz w:val="24"/>
          <w:szCs w:val="24"/>
        </w:rPr>
        <w:t xml:space="preserve">Также к концу недели финансовые рынки снова вспомнили, что проблемы в еврозоне есть и они велики, а способность европейских политиков принимать четкие и </w:t>
      </w:r>
      <w:r w:rsidR="00A747ED">
        <w:rPr>
          <w:rFonts w:ascii="Times New Roman" w:hAnsi="Times New Roman" w:cs="Times New Roman"/>
          <w:sz w:val="24"/>
          <w:szCs w:val="24"/>
        </w:rPr>
        <w:t>верные</w:t>
      </w:r>
      <w:r w:rsidR="00CC20DF">
        <w:rPr>
          <w:rFonts w:ascii="Times New Roman" w:hAnsi="Times New Roman" w:cs="Times New Roman"/>
          <w:sz w:val="24"/>
          <w:szCs w:val="24"/>
        </w:rPr>
        <w:t xml:space="preserve"> решения находится под вопросом. В этой связи есть существенн</w:t>
      </w:r>
      <w:r w:rsidR="00A747ED">
        <w:rPr>
          <w:rFonts w:ascii="Times New Roman" w:hAnsi="Times New Roman" w:cs="Times New Roman"/>
          <w:sz w:val="24"/>
          <w:szCs w:val="24"/>
        </w:rPr>
        <w:t>ая вероятность</w:t>
      </w:r>
      <w:r w:rsidR="00CC20DF">
        <w:rPr>
          <w:rFonts w:ascii="Times New Roman" w:hAnsi="Times New Roman" w:cs="Times New Roman"/>
          <w:sz w:val="24"/>
          <w:szCs w:val="24"/>
        </w:rPr>
        <w:t xml:space="preserve"> того, что на саммите лидеров стран ЕС 9 декабря не будет принято каких-либо судьбоносных решений, крайне увеличива</w:t>
      </w:r>
      <w:r w:rsidR="00A747ED">
        <w:rPr>
          <w:rFonts w:ascii="Times New Roman" w:hAnsi="Times New Roman" w:cs="Times New Roman"/>
          <w:sz w:val="24"/>
          <w:szCs w:val="24"/>
        </w:rPr>
        <w:t>е</w:t>
      </w:r>
      <w:r w:rsidR="00CC20DF">
        <w:rPr>
          <w:rFonts w:ascii="Times New Roman" w:hAnsi="Times New Roman" w:cs="Times New Roman"/>
          <w:sz w:val="24"/>
          <w:szCs w:val="24"/>
        </w:rPr>
        <w:t xml:space="preserve">тся, что приведет к сильному падению единой европейской валюты, да и рисковых активов в целом. </w:t>
      </w:r>
    </w:p>
    <w:p w:rsidR="001A769F" w:rsidRDefault="001A769F">
      <w:pPr>
        <w:rPr>
          <w:rFonts w:ascii="Times New Roman" w:hAnsi="Times New Roman" w:cs="Times New Roman"/>
          <w:sz w:val="24"/>
          <w:szCs w:val="24"/>
        </w:rPr>
      </w:pPr>
      <w:r>
        <w:rPr>
          <w:rFonts w:ascii="Times New Roman" w:hAnsi="Times New Roman" w:cs="Times New Roman"/>
          <w:sz w:val="24"/>
          <w:szCs w:val="24"/>
        </w:rPr>
        <w:t xml:space="preserve">В США статистические показатели на неделе выходили достаточно различно, </w:t>
      </w:r>
      <w:proofErr w:type="gramStart"/>
      <w:r>
        <w:rPr>
          <w:rFonts w:ascii="Times New Roman" w:hAnsi="Times New Roman" w:cs="Times New Roman"/>
          <w:sz w:val="24"/>
          <w:szCs w:val="24"/>
        </w:rPr>
        <w:t>были</w:t>
      </w:r>
      <w:proofErr w:type="gramEnd"/>
      <w:r>
        <w:rPr>
          <w:rFonts w:ascii="Times New Roman" w:hAnsi="Times New Roman" w:cs="Times New Roman"/>
          <w:sz w:val="24"/>
          <w:szCs w:val="24"/>
        </w:rPr>
        <w:t xml:space="preserve"> как и негативные моменты, так и позитивные. Рынок жилья в США продолжает приносить негатив, продажи находятся на своих минимумах, цены же снижаются, спрос крайне мал и непонятно что с этим </w:t>
      </w:r>
      <w:proofErr w:type="gramStart"/>
      <w:r>
        <w:rPr>
          <w:rFonts w:ascii="Times New Roman" w:hAnsi="Times New Roman" w:cs="Times New Roman"/>
          <w:sz w:val="24"/>
          <w:szCs w:val="24"/>
        </w:rPr>
        <w:t>делать</w:t>
      </w:r>
      <w:proofErr w:type="gramEnd"/>
      <w:r>
        <w:rPr>
          <w:rFonts w:ascii="Times New Roman" w:hAnsi="Times New Roman" w:cs="Times New Roman"/>
          <w:sz w:val="24"/>
          <w:szCs w:val="24"/>
        </w:rPr>
        <w:t xml:space="preserve">. Деловая активность в производственном секторе немного подросла, индекс настроений потребителей также подрос, причем прирост показателя составил </w:t>
      </w:r>
      <w:proofErr w:type="gramStart"/>
      <w:r>
        <w:rPr>
          <w:rFonts w:ascii="Times New Roman" w:hAnsi="Times New Roman" w:cs="Times New Roman"/>
          <w:sz w:val="24"/>
          <w:szCs w:val="24"/>
        </w:rPr>
        <w:t>аж</w:t>
      </w:r>
      <w:proofErr w:type="gramEnd"/>
      <w:r>
        <w:rPr>
          <w:rFonts w:ascii="Times New Roman" w:hAnsi="Times New Roman" w:cs="Times New Roman"/>
          <w:sz w:val="24"/>
          <w:szCs w:val="24"/>
        </w:rPr>
        <w:t xml:space="preserve"> до отметки 56, что крайне резко и существенно. Недельные заявки на пособия по безработице не принес</w:t>
      </w:r>
      <w:r w:rsidR="000E2604">
        <w:rPr>
          <w:rFonts w:ascii="Times New Roman" w:hAnsi="Times New Roman" w:cs="Times New Roman"/>
          <w:sz w:val="24"/>
          <w:szCs w:val="24"/>
        </w:rPr>
        <w:t>ли</w:t>
      </w:r>
      <w:r>
        <w:rPr>
          <w:rFonts w:ascii="Times New Roman" w:hAnsi="Times New Roman" w:cs="Times New Roman"/>
          <w:sz w:val="24"/>
          <w:szCs w:val="24"/>
        </w:rPr>
        <w:t xml:space="preserve"> каких-либо существенных цифр, показатель продолжает держаться вблизи отметки 400 тыс., что нейтрально для рынков. Ключевыми же статистическими данными недели стала публикация числа рабочих мест вне сельского хозяйства, показатель за месяц вырос на 120 тыс., в частном секторе прибавилось 140 тыс. мест, в то же время госсектор урезал 20 тыс. мест. Данные оказались в рамках прогноза, но вот прошлые данные были пересмотрены с существенным повышением на 72 тыс. рабочих места. </w:t>
      </w:r>
      <w:r w:rsidR="002F0413">
        <w:rPr>
          <w:rFonts w:ascii="Times New Roman" w:hAnsi="Times New Roman" w:cs="Times New Roman"/>
          <w:sz w:val="24"/>
          <w:szCs w:val="24"/>
        </w:rPr>
        <w:t xml:space="preserve">Данные по безработице вышли неожиданно хорошими, показатель снизился крайне существенно до 8.6%, что является минимумом с весны 2009 года, но если посмотреть за счет чего произошло такое снижение, то все окажется не так радостно, из рабочей силы просто выпало около полумиллиона американцев. </w:t>
      </w:r>
      <w:r w:rsidR="00E9107D">
        <w:rPr>
          <w:rFonts w:ascii="Times New Roman" w:hAnsi="Times New Roman" w:cs="Times New Roman"/>
          <w:sz w:val="24"/>
          <w:szCs w:val="24"/>
        </w:rPr>
        <w:t>В свете вышедших официальных данных по рынку труда можно с уверенностью сказать, что в ближайшее время нам не грозит новое смягчение денежно-кредитной политики в США, что позитивно для американской валюты. В итоге мы имеем, что в США монетарная политика смягчаться не будет, в еврозоне же наоборот, ожидается продолжение см</w:t>
      </w:r>
      <w:r w:rsidR="00717810">
        <w:rPr>
          <w:rFonts w:ascii="Times New Roman" w:hAnsi="Times New Roman" w:cs="Times New Roman"/>
          <w:sz w:val="24"/>
          <w:szCs w:val="24"/>
        </w:rPr>
        <w:t>я</w:t>
      </w:r>
      <w:r w:rsidR="00E9107D">
        <w:rPr>
          <w:rFonts w:ascii="Times New Roman" w:hAnsi="Times New Roman" w:cs="Times New Roman"/>
          <w:sz w:val="24"/>
          <w:szCs w:val="24"/>
        </w:rPr>
        <w:t xml:space="preserve">гчения. Все это создает дополнительное давление на евро, в частности, пара евродоллар выглядит привлекательно к дальнейшим продажам. </w:t>
      </w:r>
    </w:p>
    <w:p w:rsidR="004F17C7" w:rsidRDefault="00D0376C" w:rsidP="00D0376C">
      <w:pPr>
        <w:jc w:val="center"/>
        <w:rPr>
          <w:rFonts w:ascii="Times New Roman" w:hAnsi="Times New Roman" w:cs="Times New Roman"/>
          <w:sz w:val="24"/>
          <w:szCs w:val="24"/>
        </w:rPr>
      </w:pPr>
      <w:r w:rsidRPr="00D0376C">
        <w:rPr>
          <w:rFonts w:ascii="Times New Roman" w:hAnsi="Times New Roman" w:cs="Times New Roman"/>
          <w:sz w:val="24"/>
          <w:szCs w:val="24"/>
        </w:rPr>
        <w:lastRenderedPageBreak/>
        <w:drawing>
          <wp:inline distT="0" distB="0" distL="0" distR="0">
            <wp:extent cx="4686300" cy="3190875"/>
            <wp:effectExtent l="19050" t="0" r="1905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9107D" w:rsidRDefault="00717810">
      <w:pPr>
        <w:rPr>
          <w:rFonts w:ascii="Times New Roman" w:hAnsi="Times New Roman" w:cs="Times New Roman"/>
          <w:sz w:val="24"/>
          <w:szCs w:val="24"/>
        </w:rPr>
      </w:pPr>
      <w:r>
        <w:rPr>
          <w:rFonts w:ascii="Times New Roman" w:hAnsi="Times New Roman" w:cs="Times New Roman"/>
          <w:sz w:val="24"/>
          <w:szCs w:val="24"/>
        </w:rPr>
        <w:t xml:space="preserve">Подводя итог прошедшей недели можно сказать, что она </w:t>
      </w:r>
      <w:r w:rsidR="007C6D25">
        <w:rPr>
          <w:rFonts w:ascii="Times New Roman" w:hAnsi="Times New Roman" w:cs="Times New Roman"/>
          <w:sz w:val="24"/>
          <w:szCs w:val="24"/>
        </w:rPr>
        <w:t xml:space="preserve">была в некотором смысле разгрузочной, рынкам дали наконец-то время немного передохнуть и перевести дух. Коррекционный рост евро и рисковых активов осуществился, теперь все внимание будет обращено на итоги саммита лидеров стран ЕС который пройдет 9 декабря. Если мы не увидим каких-либо конкретных и «правильных» решений, то рискуем увидеть новую волну продаж риска и евро. </w:t>
      </w:r>
    </w:p>
    <w:p w:rsidR="00FA44D8" w:rsidRDefault="00C50931" w:rsidP="003D219D">
      <w:pPr>
        <w:rPr>
          <w:rStyle w:val="apple-style-span"/>
          <w:rFonts w:ascii="Times New Roman" w:hAnsi="Times New Roman" w:cs="Times New Roman"/>
          <w:sz w:val="24"/>
          <w:szCs w:val="24"/>
          <w:shd w:val="clear" w:color="auto" w:fill="FFFFFF"/>
        </w:rPr>
      </w:pPr>
      <w:r>
        <w:rPr>
          <w:rFonts w:ascii="Times New Roman" w:hAnsi="Times New Roman" w:cs="Times New Roman"/>
          <w:sz w:val="24"/>
          <w:szCs w:val="24"/>
        </w:rPr>
        <w:t>Текущая неделя обещает быть крайне важной и насыщенной на события. Особенно следует выделить многочисленные заседания центральных банков, которые огласят свои решения по ставкам, а также дадут комментари</w:t>
      </w:r>
      <w:r w:rsidR="00791417">
        <w:rPr>
          <w:rFonts w:ascii="Times New Roman" w:hAnsi="Times New Roman" w:cs="Times New Roman"/>
          <w:sz w:val="24"/>
          <w:szCs w:val="24"/>
        </w:rPr>
        <w:t>и</w:t>
      </w:r>
      <w:r>
        <w:rPr>
          <w:rFonts w:ascii="Times New Roman" w:hAnsi="Times New Roman" w:cs="Times New Roman"/>
          <w:sz w:val="24"/>
          <w:szCs w:val="24"/>
        </w:rPr>
        <w:t xml:space="preserve"> к этим решениям, из которых можно будет сделать выводы относительно будущей денежно-кредитной политики. Также следует обратить свое внимание на данные по ВВП в еврозоне, в Австралии и Японии, а в США, Канаде и Великобритании выйдут цифры по торговым балансам. </w:t>
      </w:r>
      <w:r w:rsidR="00F8736F">
        <w:rPr>
          <w:rFonts w:ascii="Times New Roman" w:hAnsi="Times New Roman" w:cs="Times New Roman"/>
          <w:sz w:val="24"/>
          <w:szCs w:val="24"/>
        </w:rPr>
        <w:t xml:space="preserve">Плюс ко всему этому еще раз напомню, что 9 декабря стартует саммит лидеров стран ЕС, который точно окажет </w:t>
      </w:r>
      <w:proofErr w:type="spellStart"/>
      <w:r w:rsidR="00F8736F">
        <w:rPr>
          <w:rFonts w:ascii="Times New Roman" w:hAnsi="Times New Roman" w:cs="Times New Roman"/>
          <w:sz w:val="24"/>
          <w:szCs w:val="24"/>
        </w:rPr>
        <w:t>наисущественнейшее</w:t>
      </w:r>
      <w:proofErr w:type="spellEnd"/>
      <w:r w:rsidR="00F8736F">
        <w:rPr>
          <w:rFonts w:ascii="Times New Roman" w:hAnsi="Times New Roman" w:cs="Times New Roman"/>
          <w:sz w:val="24"/>
          <w:szCs w:val="24"/>
        </w:rPr>
        <w:t xml:space="preserve"> влияние на рынки. </w:t>
      </w:r>
    </w:p>
    <w:p w:rsidR="00FA44D8" w:rsidRDefault="00FA44D8" w:rsidP="003D219D">
      <w:pPr>
        <w:rPr>
          <w:rStyle w:val="apple-style-span"/>
          <w:rFonts w:ascii="Times New Roman" w:hAnsi="Times New Roman" w:cs="Times New Roman"/>
          <w:sz w:val="24"/>
          <w:szCs w:val="24"/>
          <w:shd w:val="clear" w:color="auto" w:fill="FFFFFF"/>
        </w:rPr>
      </w:pPr>
    </w:p>
    <w:p w:rsidR="00FA44D8" w:rsidRDefault="00FA44D8" w:rsidP="003D219D">
      <w:pPr>
        <w:rPr>
          <w:rStyle w:val="apple-style-span"/>
          <w:rFonts w:ascii="Times New Roman" w:hAnsi="Times New Roman" w:cs="Times New Roman"/>
          <w:sz w:val="24"/>
          <w:szCs w:val="24"/>
          <w:shd w:val="clear" w:color="auto" w:fill="FFFFFF"/>
        </w:rPr>
      </w:pPr>
    </w:p>
    <w:p w:rsidR="00FA44D8" w:rsidRDefault="00FA44D8" w:rsidP="003D219D">
      <w:pPr>
        <w:rPr>
          <w:rStyle w:val="apple-style-span"/>
          <w:rFonts w:ascii="Times New Roman" w:hAnsi="Times New Roman" w:cs="Times New Roman"/>
          <w:sz w:val="24"/>
          <w:szCs w:val="24"/>
          <w:shd w:val="clear" w:color="auto" w:fill="FFFFFF"/>
        </w:rPr>
      </w:pPr>
    </w:p>
    <w:p w:rsidR="00FA44D8" w:rsidRDefault="00FA44D8" w:rsidP="003D219D">
      <w:pPr>
        <w:rPr>
          <w:rStyle w:val="apple-style-span"/>
          <w:rFonts w:ascii="Times New Roman" w:hAnsi="Times New Roman" w:cs="Times New Roman"/>
          <w:sz w:val="24"/>
          <w:szCs w:val="24"/>
          <w:shd w:val="clear" w:color="auto" w:fill="FFFFFF"/>
        </w:rPr>
      </w:pPr>
    </w:p>
    <w:p w:rsidR="00FA44D8" w:rsidRDefault="00FA44D8" w:rsidP="003D219D">
      <w:pPr>
        <w:rPr>
          <w:rStyle w:val="apple-style-span"/>
          <w:rFonts w:ascii="Times New Roman" w:hAnsi="Times New Roman" w:cs="Times New Roman"/>
          <w:sz w:val="24"/>
          <w:szCs w:val="24"/>
          <w:shd w:val="clear" w:color="auto" w:fill="FFFFFF"/>
        </w:rPr>
      </w:pPr>
    </w:p>
    <w:p w:rsidR="003D219D" w:rsidRPr="0078359C" w:rsidRDefault="003D219D" w:rsidP="003D219D">
      <w:pPr>
        <w:rPr>
          <w:rFonts w:ascii="Times New Roman" w:hAnsi="Times New Roman" w:cs="Times New Roman"/>
          <w:sz w:val="24"/>
          <w:szCs w:val="24"/>
        </w:rPr>
      </w:pPr>
      <w:r w:rsidRPr="0078359C">
        <w:rPr>
          <w:rFonts w:ascii="Times New Roman" w:hAnsi="Times New Roman" w:cs="Times New Roman"/>
          <w:sz w:val="24"/>
          <w:szCs w:val="24"/>
        </w:rPr>
        <w:t>Старший аналитик денежных рынков</w:t>
      </w:r>
      <w:r w:rsidRPr="0078359C">
        <w:rPr>
          <w:rFonts w:ascii="Times New Roman" w:hAnsi="Times New Roman" w:cs="Times New Roman"/>
          <w:sz w:val="24"/>
          <w:szCs w:val="24"/>
        </w:rPr>
        <w:br/>
        <w:t xml:space="preserve">ОАО АКБ </w:t>
      </w:r>
      <w:proofErr w:type="spellStart"/>
      <w:r w:rsidRPr="0078359C">
        <w:rPr>
          <w:rFonts w:ascii="Times New Roman" w:hAnsi="Times New Roman" w:cs="Times New Roman"/>
          <w:sz w:val="24"/>
          <w:szCs w:val="24"/>
        </w:rPr>
        <w:t>Пробизнесбанк</w:t>
      </w:r>
      <w:proofErr w:type="spellEnd"/>
      <w:r w:rsidRPr="0078359C">
        <w:rPr>
          <w:rFonts w:ascii="Times New Roman" w:hAnsi="Times New Roman" w:cs="Times New Roman"/>
          <w:sz w:val="24"/>
          <w:szCs w:val="24"/>
        </w:rPr>
        <w:br/>
        <w:t>Марков Роман</w:t>
      </w:r>
    </w:p>
    <w:p w:rsidR="00123671" w:rsidRPr="0078359C" w:rsidRDefault="003D219D">
      <w:pPr>
        <w:rPr>
          <w:rFonts w:ascii="Times New Roman" w:hAnsi="Times New Roman" w:cs="Times New Roman"/>
          <w:sz w:val="24"/>
          <w:szCs w:val="24"/>
        </w:rPr>
      </w:pPr>
      <w:r w:rsidRPr="0078359C">
        <w:rPr>
          <w:rFonts w:ascii="Times New Roman" w:hAnsi="Times New Roman" w:cs="Times New Roman"/>
          <w:sz w:val="24"/>
          <w:szCs w:val="24"/>
        </w:rPr>
        <w:t xml:space="preserve">Тел: 933-3737 </w:t>
      </w:r>
      <w:proofErr w:type="spellStart"/>
      <w:r w:rsidRPr="0078359C">
        <w:rPr>
          <w:rFonts w:ascii="Times New Roman" w:hAnsi="Times New Roman" w:cs="Times New Roman"/>
          <w:sz w:val="24"/>
          <w:szCs w:val="24"/>
        </w:rPr>
        <w:t>доб</w:t>
      </w:r>
      <w:proofErr w:type="spellEnd"/>
      <w:r w:rsidRPr="0078359C">
        <w:rPr>
          <w:rFonts w:ascii="Times New Roman" w:hAnsi="Times New Roman" w:cs="Times New Roman"/>
          <w:sz w:val="24"/>
          <w:szCs w:val="24"/>
        </w:rPr>
        <w:t>. 5317</w:t>
      </w:r>
      <w:r w:rsidRPr="0078359C">
        <w:rPr>
          <w:rFonts w:ascii="Times New Roman" w:hAnsi="Times New Roman" w:cs="Times New Roman"/>
          <w:sz w:val="24"/>
          <w:szCs w:val="24"/>
        </w:rPr>
        <w:br/>
      </w:r>
      <w:proofErr w:type="spellStart"/>
      <w:r w:rsidRPr="0078359C">
        <w:rPr>
          <w:rFonts w:ascii="Times New Roman" w:hAnsi="Times New Roman" w:cs="Times New Roman"/>
          <w:sz w:val="24"/>
          <w:szCs w:val="24"/>
        </w:rPr>
        <w:t>Моб</w:t>
      </w:r>
      <w:proofErr w:type="spellEnd"/>
      <w:r w:rsidRPr="0078359C">
        <w:rPr>
          <w:rFonts w:ascii="Times New Roman" w:hAnsi="Times New Roman" w:cs="Times New Roman"/>
          <w:sz w:val="24"/>
          <w:szCs w:val="24"/>
        </w:rPr>
        <w:t>.: 8-963-644-0161</w:t>
      </w:r>
    </w:p>
    <w:sectPr w:rsidR="00123671" w:rsidRPr="0078359C" w:rsidSect="007E00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671"/>
    <w:rsid w:val="00042B6B"/>
    <w:rsid w:val="00093389"/>
    <w:rsid w:val="000A262A"/>
    <w:rsid w:val="000B4D6A"/>
    <w:rsid w:val="000E0B0F"/>
    <w:rsid w:val="000E2604"/>
    <w:rsid w:val="00123671"/>
    <w:rsid w:val="001305DA"/>
    <w:rsid w:val="001511A4"/>
    <w:rsid w:val="001A1DA5"/>
    <w:rsid w:val="001A769F"/>
    <w:rsid w:val="001C2A4B"/>
    <w:rsid w:val="001E2871"/>
    <w:rsid w:val="0025035F"/>
    <w:rsid w:val="00270D51"/>
    <w:rsid w:val="00273892"/>
    <w:rsid w:val="0028434D"/>
    <w:rsid w:val="0028554C"/>
    <w:rsid w:val="002A7383"/>
    <w:rsid w:val="002B6BA7"/>
    <w:rsid w:val="002D0C97"/>
    <w:rsid w:val="002D76DF"/>
    <w:rsid w:val="002E0BB8"/>
    <w:rsid w:val="002F0413"/>
    <w:rsid w:val="003113B1"/>
    <w:rsid w:val="00373942"/>
    <w:rsid w:val="0039792E"/>
    <w:rsid w:val="003A792C"/>
    <w:rsid w:val="003B5F97"/>
    <w:rsid w:val="003B7A24"/>
    <w:rsid w:val="003D219D"/>
    <w:rsid w:val="003D34FE"/>
    <w:rsid w:val="003D43F9"/>
    <w:rsid w:val="003E3ABB"/>
    <w:rsid w:val="003F6C4E"/>
    <w:rsid w:val="00426B4B"/>
    <w:rsid w:val="00430957"/>
    <w:rsid w:val="004340AB"/>
    <w:rsid w:val="00436E8B"/>
    <w:rsid w:val="00492A63"/>
    <w:rsid w:val="004B7BA2"/>
    <w:rsid w:val="004D0F87"/>
    <w:rsid w:val="004F17C7"/>
    <w:rsid w:val="00500CFC"/>
    <w:rsid w:val="00544769"/>
    <w:rsid w:val="00580715"/>
    <w:rsid w:val="005A09F9"/>
    <w:rsid w:val="005A3882"/>
    <w:rsid w:val="005C05BB"/>
    <w:rsid w:val="00603A5F"/>
    <w:rsid w:val="00620E4E"/>
    <w:rsid w:val="00630692"/>
    <w:rsid w:val="00661903"/>
    <w:rsid w:val="006A3CA8"/>
    <w:rsid w:val="006B5DB1"/>
    <w:rsid w:val="006C0567"/>
    <w:rsid w:val="00717810"/>
    <w:rsid w:val="00756390"/>
    <w:rsid w:val="0078359C"/>
    <w:rsid w:val="00791417"/>
    <w:rsid w:val="007B4EB3"/>
    <w:rsid w:val="007C6D25"/>
    <w:rsid w:val="007D6D4C"/>
    <w:rsid w:val="007E0028"/>
    <w:rsid w:val="00817911"/>
    <w:rsid w:val="00824173"/>
    <w:rsid w:val="00861939"/>
    <w:rsid w:val="00891D55"/>
    <w:rsid w:val="008F69F8"/>
    <w:rsid w:val="00962F81"/>
    <w:rsid w:val="009706C4"/>
    <w:rsid w:val="00972965"/>
    <w:rsid w:val="00985200"/>
    <w:rsid w:val="009A39F6"/>
    <w:rsid w:val="00A26745"/>
    <w:rsid w:val="00A4682A"/>
    <w:rsid w:val="00A747ED"/>
    <w:rsid w:val="00AA197E"/>
    <w:rsid w:val="00AC215E"/>
    <w:rsid w:val="00AE1833"/>
    <w:rsid w:val="00B14473"/>
    <w:rsid w:val="00B32F17"/>
    <w:rsid w:val="00B34ED6"/>
    <w:rsid w:val="00B367AA"/>
    <w:rsid w:val="00B44CBC"/>
    <w:rsid w:val="00B97328"/>
    <w:rsid w:val="00BF3CE3"/>
    <w:rsid w:val="00C50931"/>
    <w:rsid w:val="00C83969"/>
    <w:rsid w:val="00CA1A4E"/>
    <w:rsid w:val="00CB3F5A"/>
    <w:rsid w:val="00CC20DF"/>
    <w:rsid w:val="00CC2CEC"/>
    <w:rsid w:val="00CD6919"/>
    <w:rsid w:val="00D0026B"/>
    <w:rsid w:val="00D0376C"/>
    <w:rsid w:val="00DB73B7"/>
    <w:rsid w:val="00DC631F"/>
    <w:rsid w:val="00DD3FBE"/>
    <w:rsid w:val="00DF0DF1"/>
    <w:rsid w:val="00DF0F66"/>
    <w:rsid w:val="00E2213E"/>
    <w:rsid w:val="00E5460E"/>
    <w:rsid w:val="00E6451D"/>
    <w:rsid w:val="00E64ACC"/>
    <w:rsid w:val="00E9107D"/>
    <w:rsid w:val="00EB2546"/>
    <w:rsid w:val="00EC57B4"/>
    <w:rsid w:val="00EC66A6"/>
    <w:rsid w:val="00F32B0B"/>
    <w:rsid w:val="00F448B5"/>
    <w:rsid w:val="00F7285B"/>
    <w:rsid w:val="00F8736F"/>
    <w:rsid w:val="00FA44D8"/>
    <w:rsid w:val="00FD0DED"/>
    <w:rsid w:val="00FD3DA3"/>
    <w:rsid w:val="00FF6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3671"/>
    <w:rPr>
      <w:color w:val="0000FF"/>
      <w:u w:val="single"/>
    </w:rPr>
  </w:style>
  <w:style w:type="character" w:customStyle="1" w:styleId="apple-style-span">
    <w:name w:val="apple-style-span"/>
    <w:basedOn w:val="a0"/>
    <w:rsid w:val="00123671"/>
  </w:style>
  <w:style w:type="character" w:customStyle="1" w:styleId="apple-converted-space">
    <w:name w:val="apple-converted-space"/>
    <w:basedOn w:val="a0"/>
    <w:rsid w:val="00123671"/>
  </w:style>
  <w:style w:type="paragraph" w:styleId="a4">
    <w:name w:val="Balloon Text"/>
    <w:basedOn w:val="a"/>
    <w:link w:val="a5"/>
    <w:uiPriority w:val="99"/>
    <w:semiHidden/>
    <w:unhideWhenUsed/>
    <w:rsid w:val="002843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3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H:\Work\Macrostatistics\&#1071;&#1055;&#1054;&#1053;&#1048;&#1071;\&#1059;&#1088;&#1086;&#1074;&#1077;&#1085;&#1100;%20&#1073;&#1077;&#1079;&#1088;&#1072;&#1073;&#1086;&#1090;&#1080;&#1094;&#109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Work\Macrostatistics\&#1045;&#1057;\&#1059;&#1088;&#1086;&#1074;&#1077;&#1085;&#1100;%20&#1073;&#1077;&#1079;&#1088;&#1072;&#1073;&#1086;&#1090;&#1080;&#1094;&#109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H:\Work\Macrostatistics\&#1057;&#1064;&#1040;\&#1059;&#1088;&#1086;&#1074;&#1077;&#1085;&#1100;%20&#1073;&#1077;&#1079;&#1088;&#1072;&#1073;&#1086;&#1090;&#1080;&#1094;&#1099;.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solidFill>
                  <a:srgbClr val="00B050"/>
                </a:solidFill>
              </a:defRPr>
            </a:pPr>
            <a:r>
              <a:rPr lang="ru-RU"/>
              <a:t>Уровень безработицы (Япония)</a:t>
            </a:r>
          </a:p>
        </c:rich>
      </c:tx>
    </c:title>
    <c:plotArea>
      <c:layout/>
      <c:lineChart>
        <c:grouping val="standard"/>
        <c:ser>
          <c:idx val="0"/>
          <c:order val="0"/>
          <c:spPr>
            <a:ln>
              <a:solidFill>
                <a:schemeClr val="accent6"/>
              </a:solidFill>
            </a:ln>
          </c:spPr>
          <c:marker>
            <c:symbol val="none"/>
          </c:marker>
          <c:cat>
            <c:numRef>
              <c:f>Лист1!$A$1:$A$94</c:f>
              <c:numCache>
                <c:formatCode>[$-419]mmmm\ yyyy;@</c:formatCode>
                <c:ptCount val="94"/>
                <c:pt idx="0">
                  <c:v>37831.145833333336</c:v>
                </c:pt>
                <c:pt idx="1">
                  <c:v>37862.145833333336</c:v>
                </c:pt>
                <c:pt idx="2">
                  <c:v>37894.145833333336</c:v>
                </c:pt>
                <c:pt idx="3">
                  <c:v>37925.104166666657</c:v>
                </c:pt>
                <c:pt idx="4">
                  <c:v>37953.104166666657</c:v>
                </c:pt>
                <c:pt idx="5">
                  <c:v>38016.104166666657</c:v>
                </c:pt>
                <c:pt idx="6">
                  <c:v>38044.104166666657</c:v>
                </c:pt>
                <c:pt idx="7">
                  <c:v>38076.145833333336</c:v>
                </c:pt>
                <c:pt idx="8">
                  <c:v>38163.145833333336</c:v>
                </c:pt>
                <c:pt idx="9">
                  <c:v>38167.145833333336</c:v>
                </c:pt>
                <c:pt idx="10">
                  <c:v>38167.145833333336</c:v>
                </c:pt>
                <c:pt idx="11">
                  <c:v>38198.145833333336</c:v>
                </c:pt>
                <c:pt idx="12">
                  <c:v>38261.145833333336</c:v>
                </c:pt>
                <c:pt idx="13">
                  <c:v>38289.145833333336</c:v>
                </c:pt>
                <c:pt idx="14">
                  <c:v>38321.104166666657</c:v>
                </c:pt>
                <c:pt idx="15">
                  <c:v>38349.104166666657</c:v>
                </c:pt>
                <c:pt idx="16">
                  <c:v>38380.104166666657</c:v>
                </c:pt>
                <c:pt idx="17">
                  <c:v>38412.104166666657</c:v>
                </c:pt>
                <c:pt idx="18">
                  <c:v>38440.145833333336</c:v>
                </c:pt>
                <c:pt idx="19">
                  <c:v>38468.145833333336</c:v>
                </c:pt>
                <c:pt idx="20">
                  <c:v>38503.145833333336</c:v>
                </c:pt>
                <c:pt idx="21">
                  <c:v>38534.145833333336</c:v>
                </c:pt>
                <c:pt idx="22">
                  <c:v>38562.145833333336</c:v>
                </c:pt>
                <c:pt idx="23">
                  <c:v>38594.145833333336</c:v>
                </c:pt>
                <c:pt idx="24">
                  <c:v>38625.145833333336</c:v>
                </c:pt>
                <c:pt idx="25">
                  <c:v>38653.145833333336</c:v>
                </c:pt>
                <c:pt idx="26">
                  <c:v>38685.104166666657</c:v>
                </c:pt>
                <c:pt idx="27">
                  <c:v>38748.145833333336</c:v>
                </c:pt>
                <c:pt idx="28">
                  <c:v>38779.145833333336</c:v>
                </c:pt>
                <c:pt idx="29">
                  <c:v>38807.145833333336</c:v>
                </c:pt>
                <c:pt idx="30">
                  <c:v>38835.145833333336</c:v>
                </c:pt>
                <c:pt idx="31">
                  <c:v>38898.145833333336</c:v>
                </c:pt>
                <c:pt idx="32">
                  <c:v>38926.145833333336</c:v>
                </c:pt>
                <c:pt idx="33">
                  <c:v>38958.145833333336</c:v>
                </c:pt>
                <c:pt idx="34">
                  <c:v>38989.145833333336</c:v>
                </c:pt>
                <c:pt idx="35">
                  <c:v>39021.145833333336</c:v>
                </c:pt>
                <c:pt idx="36">
                  <c:v>39052.145833333336</c:v>
                </c:pt>
                <c:pt idx="37">
                  <c:v>39077.145833333336</c:v>
                </c:pt>
                <c:pt idx="38">
                  <c:v>39112.145833333336</c:v>
                </c:pt>
                <c:pt idx="39">
                  <c:v>39171.145833333336</c:v>
                </c:pt>
                <c:pt idx="40">
                  <c:v>39231.145833333336</c:v>
                </c:pt>
                <c:pt idx="41">
                  <c:v>39262.145833333336</c:v>
                </c:pt>
                <c:pt idx="42">
                  <c:v>39294.159722222212</c:v>
                </c:pt>
                <c:pt idx="43">
                  <c:v>39325.145833333336</c:v>
                </c:pt>
                <c:pt idx="44">
                  <c:v>39353.145833333336</c:v>
                </c:pt>
                <c:pt idx="45">
                  <c:v>39416.145833333336</c:v>
                </c:pt>
                <c:pt idx="46">
                  <c:v>39444.104166666657</c:v>
                </c:pt>
                <c:pt idx="47">
                  <c:v>39476.104166666657</c:v>
                </c:pt>
                <c:pt idx="48">
                  <c:v>39507.118055555562</c:v>
                </c:pt>
                <c:pt idx="49">
                  <c:v>39535.104166666657</c:v>
                </c:pt>
                <c:pt idx="50">
                  <c:v>39568.145833333336</c:v>
                </c:pt>
                <c:pt idx="51">
                  <c:v>39598.145833333336</c:v>
                </c:pt>
                <c:pt idx="52">
                  <c:v>39626.159722222212</c:v>
                </c:pt>
                <c:pt idx="53">
                  <c:v>39658.159722222212</c:v>
                </c:pt>
                <c:pt idx="54">
                  <c:v>39689.159722222212</c:v>
                </c:pt>
                <c:pt idx="55">
                  <c:v>39721.145833333336</c:v>
                </c:pt>
                <c:pt idx="56">
                  <c:v>39752.145833333336</c:v>
                </c:pt>
                <c:pt idx="57">
                  <c:v>39780.104166666657</c:v>
                </c:pt>
                <c:pt idx="58">
                  <c:v>39808.104166666657</c:v>
                </c:pt>
                <c:pt idx="59">
                  <c:v>39843.104166666657</c:v>
                </c:pt>
                <c:pt idx="60">
                  <c:v>39871.104166666657</c:v>
                </c:pt>
                <c:pt idx="61">
                  <c:v>39903.145833333336</c:v>
                </c:pt>
                <c:pt idx="62">
                  <c:v>39934.145833333336</c:v>
                </c:pt>
                <c:pt idx="63">
                  <c:v>39962.145833333336</c:v>
                </c:pt>
                <c:pt idx="64">
                  <c:v>39994.145833333336</c:v>
                </c:pt>
                <c:pt idx="65">
                  <c:v>40025.145833333336</c:v>
                </c:pt>
                <c:pt idx="66">
                  <c:v>40053.145833333336</c:v>
                </c:pt>
                <c:pt idx="67">
                  <c:v>40088.145833333336</c:v>
                </c:pt>
                <c:pt idx="68">
                  <c:v>40116.104166666657</c:v>
                </c:pt>
                <c:pt idx="69">
                  <c:v>40144.145833333336</c:v>
                </c:pt>
                <c:pt idx="70">
                  <c:v>40172.104166666657</c:v>
                </c:pt>
                <c:pt idx="71">
                  <c:v>40207.104166666657</c:v>
                </c:pt>
                <c:pt idx="72">
                  <c:v>40239.104166666657</c:v>
                </c:pt>
                <c:pt idx="73">
                  <c:v>40267.145833333336</c:v>
                </c:pt>
                <c:pt idx="74">
                  <c:v>40298.145833333336</c:v>
                </c:pt>
                <c:pt idx="75">
                  <c:v>40326.145833333336</c:v>
                </c:pt>
                <c:pt idx="76">
                  <c:v>40358.145833333336</c:v>
                </c:pt>
                <c:pt idx="77">
                  <c:v>40389.145833333336</c:v>
                </c:pt>
                <c:pt idx="78">
                  <c:v>40417.145833333336</c:v>
                </c:pt>
                <c:pt idx="79">
                  <c:v>40452.145833333336</c:v>
                </c:pt>
                <c:pt idx="80">
                  <c:v>40480.145833333336</c:v>
                </c:pt>
                <c:pt idx="81">
                  <c:v>40512.104166666657</c:v>
                </c:pt>
                <c:pt idx="82">
                  <c:v>40540.104166666657</c:v>
                </c:pt>
                <c:pt idx="83">
                  <c:v>40571.104166666657</c:v>
                </c:pt>
                <c:pt idx="84">
                  <c:v>40603.104166666657</c:v>
                </c:pt>
                <c:pt idx="85">
                  <c:v>40631.145833333336</c:v>
                </c:pt>
                <c:pt idx="86">
                  <c:v>40661.145833333336</c:v>
                </c:pt>
                <c:pt idx="87">
                  <c:v>40694.145833333336</c:v>
                </c:pt>
                <c:pt idx="88">
                  <c:v>40725.145833333336</c:v>
                </c:pt>
                <c:pt idx="89">
                  <c:v>40753</c:v>
                </c:pt>
                <c:pt idx="90">
                  <c:v>40785</c:v>
                </c:pt>
                <c:pt idx="91">
                  <c:v>40816</c:v>
                </c:pt>
                <c:pt idx="92">
                  <c:v>40844</c:v>
                </c:pt>
                <c:pt idx="93">
                  <c:v>40876</c:v>
                </c:pt>
              </c:numCache>
            </c:numRef>
          </c:cat>
          <c:val>
            <c:numRef>
              <c:f>Лист1!$C$1:$C$94</c:f>
              <c:numCache>
                <c:formatCode>0.0%</c:formatCode>
                <c:ptCount val="94"/>
                <c:pt idx="0">
                  <c:v>5.3000000000000005E-2</c:v>
                </c:pt>
                <c:pt idx="1">
                  <c:v>5.3000000000000005E-2</c:v>
                </c:pt>
                <c:pt idx="2">
                  <c:v>5.1000000000000004E-2</c:v>
                </c:pt>
                <c:pt idx="3">
                  <c:v>5.1000000000000004E-2</c:v>
                </c:pt>
                <c:pt idx="4">
                  <c:v>5.1999999999999998E-2</c:v>
                </c:pt>
                <c:pt idx="5">
                  <c:v>4.9000000000000009E-2</c:v>
                </c:pt>
                <c:pt idx="6">
                  <c:v>0.05</c:v>
                </c:pt>
                <c:pt idx="7">
                  <c:v>0.05</c:v>
                </c:pt>
                <c:pt idx="8">
                  <c:v>4.7000000000000007E-2</c:v>
                </c:pt>
                <c:pt idx="9">
                  <c:v>4.5999999999999999E-2</c:v>
                </c:pt>
                <c:pt idx="10">
                  <c:v>4.5999999999999999E-2</c:v>
                </c:pt>
                <c:pt idx="11">
                  <c:v>4.5999999999999999E-2</c:v>
                </c:pt>
                <c:pt idx="12">
                  <c:v>4.8000000000000001E-2</c:v>
                </c:pt>
                <c:pt idx="13">
                  <c:v>4.5999999999999999E-2</c:v>
                </c:pt>
                <c:pt idx="14">
                  <c:v>4.7000000000000007E-2</c:v>
                </c:pt>
                <c:pt idx="15">
                  <c:v>4.5000000000000005E-2</c:v>
                </c:pt>
                <c:pt idx="16">
                  <c:v>4.3999999999999997E-2</c:v>
                </c:pt>
                <c:pt idx="17">
                  <c:v>4.3999999999999997E-2</c:v>
                </c:pt>
                <c:pt idx="18">
                  <c:v>4.7000000000000007E-2</c:v>
                </c:pt>
                <c:pt idx="19">
                  <c:v>4.5000000000000005E-2</c:v>
                </c:pt>
                <c:pt idx="20">
                  <c:v>4.3999999999999997E-2</c:v>
                </c:pt>
                <c:pt idx="21">
                  <c:v>4.3999999999999997E-2</c:v>
                </c:pt>
                <c:pt idx="22">
                  <c:v>4.200000000000001E-2</c:v>
                </c:pt>
                <c:pt idx="23">
                  <c:v>4.3999999999999997E-2</c:v>
                </c:pt>
                <c:pt idx="24">
                  <c:v>4.3000000000000003E-2</c:v>
                </c:pt>
                <c:pt idx="25">
                  <c:v>4.200000000000001E-2</c:v>
                </c:pt>
                <c:pt idx="26">
                  <c:v>4.5000000000000005E-2</c:v>
                </c:pt>
                <c:pt idx="27">
                  <c:v>4.3999999999999997E-2</c:v>
                </c:pt>
                <c:pt idx="28">
                  <c:v>4.5000000000000005E-2</c:v>
                </c:pt>
                <c:pt idx="29">
                  <c:v>4.1000000000000002E-2</c:v>
                </c:pt>
                <c:pt idx="30">
                  <c:v>4.1000000000000002E-2</c:v>
                </c:pt>
                <c:pt idx="31">
                  <c:v>4.0000000000000008E-2</c:v>
                </c:pt>
                <c:pt idx="32">
                  <c:v>4.200000000000001E-2</c:v>
                </c:pt>
                <c:pt idx="33">
                  <c:v>4.1000000000000002E-2</c:v>
                </c:pt>
                <c:pt idx="34">
                  <c:v>4.1000000000000002E-2</c:v>
                </c:pt>
                <c:pt idx="35">
                  <c:v>4.200000000000001E-2</c:v>
                </c:pt>
                <c:pt idx="36">
                  <c:v>4.1000000000000002E-2</c:v>
                </c:pt>
                <c:pt idx="37">
                  <c:v>4.0000000000000008E-2</c:v>
                </c:pt>
                <c:pt idx="38">
                  <c:v>4.1000000000000002E-2</c:v>
                </c:pt>
                <c:pt idx="39">
                  <c:v>4.0000000000000008E-2</c:v>
                </c:pt>
                <c:pt idx="40">
                  <c:v>3.7999999999999999E-2</c:v>
                </c:pt>
                <c:pt idx="41">
                  <c:v>3.7999999999999999E-2</c:v>
                </c:pt>
                <c:pt idx="42">
                  <c:v>3.6999999999999998E-2</c:v>
                </c:pt>
                <c:pt idx="43">
                  <c:v>3.5999999999999997E-2</c:v>
                </c:pt>
                <c:pt idx="44">
                  <c:v>3.7999999999999999E-2</c:v>
                </c:pt>
                <c:pt idx="45">
                  <c:v>4.0000000000000008E-2</c:v>
                </c:pt>
                <c:pt idx="46">
                  <c:v>3.7999999999999999E-2</c:v>
                </c:pt>
                <c:pt idx="47">
                  <c:v>3.7999999999999999E-2</c:v>
                </c:pt>
                <c:pt idx="48">
                  <c:v>3.7999999999999999E-2</c:v>
                </c:pt>
                <c:pt idx="49">
                  <c:v>3.9000000000000007E-2</c:v>
                </c:pt>
                <c:pt idx="50">
                  <c:v>3.7999999999999999E-2</c:v>
                </c:pt>
                <c:pt idx="51">
                  <c:v>4.0000000000000008E-2</c:v>
                </c:pt>
                <c:pt idx="52">
                  <c:v>4.0000000000000008E-2</c:v>
                </c:pt>
                <c:pt idx="53">
                  <c:v>4.1000000000000002E-2</c:v>
                </c:pt>
                <c:pt idx="54">
                  <c:v>4.0000000000000008E-2</c:v>
                </c:pt>
                <c:pt idx="55">
                  <c:v>4.200000000000001E-2</c:v>
                </c:pt>
                <c:pt idx="56">
                  <c:v>4.0000000000000008E-2</c:v>
                </c:pt>
                <c:pt idx="57">
                  <c:v>3.6999999999999998E-2</c:v>
                </c:pt>
                <c:pt idx="58">
                  <c:v>3.9000000000000007E-2</c:v>
                </c:pt>
                <c:pt idx="59">
                  <c:v>4.3999999999999997E-2</c:v>
                </c:pt>
                <c:pt idx="60">
                  <c:v>4.1000000000000002E-2</c:v>
                </c:pt>
                <c:pt idx="61">
                  <c:v>4.3999999999999997E-2</c:v>
                </c:pt>
                <c:pt idx="62">
                  <c:v>4.8000000000000001E-2</c:v>
                </c:pt>
                <c:pt idx="63">
                  <c:v>0.05</c:v>
                </c:pt>
                <c:pt idx="64">
                  <c:v>5.1999999999999998E-2</c:v>
                </c:pt>
                <c:pt idx="65">
                  <c:v>5.3999999999999999E-2</c:v>
                </c:pt>
                <c:pt idx="66">
                  <c:v>5.7000000000000009E-2</c:v>
                </c:pt>
                <c:pt idx="67">
                  <c:v>5.5000000000000007E-2</c:v>
                </c:pt>
                <c:pt idx="68">
                  <c:v>5.3000000000000005E-2</c:v>
                </c:pt>
                <c:pt idx="69">
                  <c:v>5.1000000000000004E-2</c:v>
                </c:pt>
                <c:pt idx="70">
                  <c:v>5.1999999999999998E-2</c:v>
                </c:pt>
                <c:pt idx="71">
                  <c:v>5.1000000000000004E-2</c:v>
                </c:pt>
                <c:pt idx="72">
                  <c:v>4.9000000000000009E-2</c:v>
                </c:pt>
                <c:pt idx="73">
                  <c:v>4.9000000000000009E-2</c:v>
                </c:pt>
                <c:pt idx="74">
                  <c:v>0.05</c:v>
                </c:pt>
                <c:pt idx="75">
                  <c:v>5.1000000000000004E-2</c:v>
                </c:pt>
                <c:pt idx="76">
                  <c:v>5.1999999999999998E-2</c:v>
                </c:pt>
                <c:pt idx="77">
                  <c:v>5.3000000000000005E-2</c:v>
                </c:pt>
                <c:pt idx="78">
                  <c:v>5.1999999999999998E-2</c:v>
                </c:pt>
                <c:pt idx="79">
                  <c:v>5.1000000000000004E-2</c:v>
                </c:pt>
                <c:pt idx="80">
                  <c:v>0.05</c:v>
                </c:pt>
                <c:pt idx="81">
                  <c:v>5.1000000000000004E-2</c:v>
                </c:pt>
                <c:pt idx="82">
                  <c:v>5.1000000000000004E-2</c:v>
                </c:pt>
                <c:pt idx="83">
                  <c:v>4.9000000000000009E-2</c:v>
                </c:pt>
                <c:pt idx="84">
                  <c:v>4.9000000000000009E-2</c:v>
                </c:pt>
                <c:pt idx="85">
                  <c:v>4.5999999999999999E-2</c:v>
                </c:pt>
                <c:pt idx="86">
                  <c:v>4.5999999999999999E-2</c:v>
                </c:pt>
                <c:pt idx="87">
                  <c:v>4.7000000000000007E-2</c:v>
                </c:pt>
                <c:pt idx="88">
                  <c:v>4.5000000000000005E-2</c:v>
                </c:pt>
                <c:pt idx="89">
                  <c:v>4.5999999999999999E-2</c:v>
                </c:pt>
                <c:pt idx="90">
                  <c:v>4.7000000000000007E-2</c:v>
                </c:pt>
                <c:pt idx="91">
                  <c:v>4.3000000000000003E-2</c:v>
                </c:pt>
                <c:pt idx="92">
                  <c:v>4.1000000000000002E-2</c:v>
                </c:pt>
                <c:pt idx="93">
                  <c:v>4.5000000000000005E-2</c:v>
                </c:pt>
              </c:numCache>
            </c:numRef>
          </c:val>
        </c:ser>
        <c:marker val="1"/>
        <c:axId val="79534336"/>
        <c:axId val="79538048"/>
      </c:lineChart>
      <c:dateAx>
        <c:axId val="79534336"/>
        <c:scaling>
          <c:orientation val="minMax"/>
        </c:scaling>
        <c:axPos val="b"/>
        <c:majorGridlines>
          <c:spPr>
            <a:ln>
              <a:prstDash val="sysDot"/>
            </a:ln>
          </c:spPr>
        </c:majorGridlines>
        <c:numFmt formatCode="[$-419]mmmm\ yyyy;@" sourceLinked="1"/>
        <c:majorTickMark val="none"/>
        <c:tickLblPos val="low"/>
        <c:txPr>
          <a:bodyPr/>
          <a:lstStyle/>
          <a:p>
            <a:pPr>
              <a:defRPr>
                <a:solidFill>
                  <a:srgbClr val="00B050"/>
                </a:solidFill>
              </a:defRPr>
            </a:pPr>
            <a:endParaRPr lang="ru-RU"/>
          </a:p>
        </c:txPr>
        <c:crossAx val="79538048"/>
        <c:crosses val="autoZero"/>
        <c:auto val="1"/>
        <c:lblOffset val="100"/>
      </c:dateAx>
      <c:valAx>
        <c:axId val="79538048"/>
        <c:scaling>
          <c:orientation val="minMax"/>
        </c:scaling>
        <c:axPos val="l"/>
        <c:majorGridlines>
          <c:spPr>
            <a:ln w="9525">
              <a:prstDash val="sysDot"/>
            </a:ln>
          </c:spPr>
        </c:majorGridlines>
        <c:numFmt formatCode="0.0%" sourceLinked="1"/>
        <c:majorTickMark val="none"/>
        <c:tickLblPos val="nextTo"/>
        <c:txPr>
          <a:bodyPr/>
          <a:lstStyle/>
          <a:p>
            <a:pPr>
              <a:defRPr>
                <a:solidFill>
                  <a:srgbClr val="00B050"/>
                </a:solidFill>
              </a:defRPr>
            </a:pPr>
            <a:endParaRPr lang="ru-RU"/>
          </a:p>
        </c:txPr>
        <c:crossAx val="79534336"/>
        <c:crosses val="autoZero"/>
        <c:crossBetween val="between"/>
      </c:valAx>
    </c:plotArea>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a:lstStyle/>
          <a:p>
            <a:pPr>
              <a:defRPr>
                <a:solidFill>
                  <a:srgbClr val="00B050"/>
                </a:solidFill>
              </a:defRPr>
            </a:pPr>
            <a:r>
              <a:rPr lang="ru-RU"/>
              <a:t>Уровень безработицы (ЕС)</a:t>
            </a:r>
          </a:p>
        </c:rich>
      </c:tx>
    </c:title>
    <c:plotArea>
      <c:layout/>
      <c:lineChart>
        <c:grouping val="standard"/>
        <c:ser>
          <c:idx val="0"/>
          <c:order val="0"/>
          <c:spPr>
            <a:ln>
              <a:solidFill>
                <a:schemeClr val="accent6"/>
              </a:solidFill>
            </a:ln>
          </c:spPr>
          <c:marker>
            <c:symbol val="none"/>
          </c:marker>
          <c:cat>
            <c:numRef>
              <c:f>Лист1!$A$1:$A$85</c:f>
              <c:numCache>
                <c:formatCode>[$-419]mmmm\ yyyy;@</c:formatCode>
                <c:ptCount val="85"/>
                <c:pt idx="0">
                  <c:v>37838.583333333336</c:v>
                </c:pt>
                <c:pt idx="1">
                  <c:v>37866.583333333336</c:v>
                </c:pt>
                <c:pt idx="2">
                  <c:v>37895.583333333336</c:v>
                </c:pt>
                <c:pt idx="3">
                  <c:v>37930.583333333336</c:v>
                </c:pt>
                <c:pt idx="4">
                  <c:v>37957.583333333336</c:v>
                </c:pt>
                <c:pt idx="5">
                  <c:v>37994.583333333336</c:v>
                </c:pt>
                <c:pt idx="6">
                  <c:v>38020.583333333336</c:v>
                </c:pt>
                <c:pt idx="7">
                  <c:v>38111.541666666657</c:v>
                </c:pt>
                <c:pt idx="8">
                  <c:v>38140.541666666657</c:v>
                </c:pt>
                <c:pt idx="9">
                  <c:v>38169.541666666657</c:v>
                </c:pt>
                <c:pt idx="10">
                  <c:v>38202.541666666657</c:v>
                </c:pt>
                <c:pt idx="11">
                  <c:v>38265.541666666657</c:v>
                </c:pt>
                <c:pt idx="12">
                  <c:v>38322.541666666657</c:v>
                </c:pt>
                <c:pt idx="13">
                  <c:v>38384.541666666657</c:v>
                </c:pt>
                <c:pt idx="14">
                  <c:v>38534.541666666657</c:v>
                </c:pt>
                <c:pt idx="15">
                  <c:v>38596.541666666657</c:v>
                </c:pt>
                <c:pt idx="16">
                  <c:v>38629.541666666657</c:v>
                </c:pt>
                <c:pt idx="17">
                  <c:v>38660.541666666657</c:v>
                </c:pt>
                <c:pt idx="18">
                  <c:v>38687.541666666657</c:v>
                </c:pt>
                <c:pt idx="19">
                  <c:v>38723.541666666657</c:v>
                </c:pt>
                <c:pt idx="20">
                  <c:v>38749.541666666657</c:v>
                </c:pt>
                <c:pt idx="21">
                  <c:v>38777.541666666657</c:v>
                </c:pt>
                <c:pt idx="22">
                  <c:v>38811.541666666657</c:v>
                </c:pt>
                <c:pt idx="23">
                  <c:v>38840.541666666657</c:v>
                </c:pt>
                <c:pt idx="24">
                  <c:v>38901.541666666657</c:v>
                </c:pt>
                <c:pt idx="25">
                  <c:v>38930.541666666657</c:v>
                </c:pt>
                <c:pt idx="26">
                  <c:v>38961.541666666657</c:v>
                </c:pt>
                <c:pt idx="27">
                  <c:v>38993.541666666657</c:v>
                </c:pt>
                <c:pt idx="28">
                  <c:v>39024.541666666657</c:v>
                </c:pt>
                <c:pt idx="29">
                  <c:v>39052.541666666657</c:v>
                </c:pt>
                <c:pt idx="30">
                  <c:v>39113.541666666657</c:v>
                </c:pt>
                <c:pt idx="31">
                  <c:v>39141.541666666657</c:v>
                </c:pt>
                <c:pt idx="32">
                  <c:v>39204.541666666657</c:v>
                </c:pt>
                <c:pt idx="33">
                  <c:v>39266.541666666657</c:v>
                </c:pt>
                <c:pt idx="34">
                  <c:v>39294.541666666657</c:v>
                </c:pt>
                <c:pt idx="35">
                  <c:v>39325.541666666657</c:v>
                </c:pt>
                <c:pt idx="36">
                  <c:v>39357.541666666657</c:v>
                </c:pt>
                <c:pt idx="37">
                  <c:v>39386.541666666657</c:v>
                </c:pt>
                <c:pt idx="38">
                  <c:v>39419.541666666657</c:v>
                </c:pt>
                <c:pt idx="39">
                  <c:v>39478.541666666657</c:v>
                </c:pt>
                <c:pt idx="40">
                  <c:v>39507.541666666657</c:v>
                </c:pt>
                <c:pt idx="41">
                  <c:v>39539.541666666657</c:v>
                </c:pt>
                <c:pt idx="42">
                  <c:v>39568.541666666657</c:v>
                </c:pt>
                <c:pt idx="43">
                  <c:v>39598.541666666657</c:v>
                </c:pt>
                <c:pt idx="44">
                  <c:v>39630.541666666657</c:v>
                </c:pt>
                <c:pt idx="45">
                  <c:v>39660.541666666657</c:v>
                </c:pt>
                <c:pt idx="46">
                  <c:v>39689.541666666657</c:v>
                </c:pt>
                <c:pt idx="47">
                  <c:v>39722.541666666657</c:v>
                </c:pt>
                <c:pt idx="48">
                  <c:v>39752.541666666657</c:v>
                </c:pt>
                <c:pt idx="49">
                  <c:v>39780.541666666657</c:v>
                </c:pt>
                <c:pt idx="50">
                  <c:v>39821.541666666657</c:v>
                </c:pt>
                <c:pt idx="51">
                  <c:v>39843.541666666657</c:v>
                </c:pt>
                <c:pt idx="52">
                  <c:v>39871.541666666657</c:v>
                </c:pt>
                <c:pt idx="53">
                  <c:v>39904.541666666657</c:v>
                </c:pt>
                <c:pt idx="54">
                  <c:v>39933.541666666657</c:v>
                </c:pt>
                <c:pt idx="55">
                  <c:v>39966.541666666657</c:v>
                </c:pt>
                <c:pt idx="56">
                  <c:v>39996.541666666657</c:v>
                </c:pt>
                <c:pt idx="57">
                  <c:v>40025.541666666657</c:v>
                </c:pt>
                <c:pt idx="58">
                  <c:v>40057.541666666657</c:v>
                </c:pt>
                <c:pt idx="59">
                  <c:v>40087.541666666657</c:v>
                </c:pt>
                <c:pt idx="60">
                  <c:v>40116.541666666657</c:v>
                </c:pt>
                <c:pt idx="61">
                  <c:v>40148.541666666657</c:v>
                </c:pt>
                <c:pt idx="62">
                  <c:v>40186.541666666657</c:v>
                </c:pt>
                <c:pt idx="63">
                  <c:v>40207.541666666657</c:v>
                </c:pt>
                <c:pt idx="64">
                  <c:v>40238.541666666657</c:v>
                </c:pt>
                <c:pt idx="65">
                  <c:v>40268.541666666657</c:v>
                </c:pt>
                <c:pt idx="66">
                  <c:v>40298.541666666657</c:v>
                </c:pt>
                <c:pt idx="67">
                  <c:v>40330.541666666657</c:v>
                </c:pt>
                <c:pt idx="68">
                  <c:v>40361.541666666657</c:v>
                </c:pt>
                <c:pt idx="69">
                  <c:v>40389.541666666657</c:v>
                </c:pt>
                <c:pt idx="70">
                  <c:v>40421.541666666657</c:v>
                </c:pt>
                <c:pt idx="71">
                  <c:v>40452.541666666657</c:v>
                </c:pt>
                <c:pt idx="72">
                  <c:v>40480.541666666657</c:v>
                </c:pt>
                <c:pt idx="73">
                  <c:v>40512.541666666657</c:v>
                </c:pt>
                <c:pt idx="74">
                  <c:v>40550.541666666657</c:v>
                </c:pt>
                <c:pt idx="75">
                  <c:v>40575.541666666657</c:v>
                </c:pt>
                <c:pt idx="76">
                  <c:v>40603.541666666657</c:v>
                </c:pt>
                <c:pt idx="77">
                  <c:v>40634.541666666657</c:v>
                </c:pt>
                <c:pt idx="78">
                  <c:v>40662.541666666657</c:v>
                </c:pt>
                <c:pt idx="79">
                  <c:v>40694.541666666657</c:v>
                </c:pt>
                <c:pt idx="80">
                  <c:v>40725.541666666657</c:v>
                </c:pt>
                <c:pt idx="81">
                  <c:v>40756</c:v>
                </c:pt>
                <c:pt idx="82">
                  <c:v>40787</c:v>
                </c:pt>
                <c:pt idx="83">
                  <c:v>40847</c:v>
                </c:pt>
                <c:pt idx="84">
                  <c:v>40877</c:v>
                </c:pt>
              </c:numCache>
            </c:numRef>
          </c:cat>
          <c:val>
            <c:numRef>
              <c:f>Лист1!$C$1:$C$85</c:f>
              <c:numCache>
                <c:formatCode>0.0%</c:formatCode>
                <c:ptCount val="85"/>
                <c:pt idx="0">
                  <c:v>8.9000000000000037E-2</c:v>
                </c:pt>
                <c:pt idx="1">
                  <c:v>8.9000000000000037E-2</c:v>
                </c:pt>
                <c:pt idx="2">
                  <c:v>8.9000000000000037E-2</c:v>
                </c:pt>
                <c:pt idx="3">
                  <c:v>8.8000000000000023E-2</c:v>
                </c:pt>
                <c:pt idx="4">
                  <c:v>8.8000000000000023E-2</c:v>
                </c:pt>
                <c:pt idx="5">
                  <c:v>8.8000000000000023E-2</c:v>
                </c:pt>
                <c:pt idx="6">
                  <c:v>8.8000000000000023E-2</c:v>
                </c:pt>
                <c:pt idx="7">
                  <c:v>8.8000000000000023E-2</c:v>
                </c:pt>
                <c:pt idx="8">
                  <c:v>9.0000000000000011E-2</c:v>
                </c:pt>
                <c:pt idx="9">
                  <c:v>9.0000000000000011E-2</c:v>
                </c:pt>
                <c:pt idx="10">
                  <c:v>9.0000000000000011E-2</c:v>
                </c:pt>
                <c:pt idx="11">
                  <c:v>9.0000000000000011E-2</c:v>
                </c:pt>
                <c:pt idx="12">
                  <c:v>8.9000000000000037E-2</c:v>
                </c:pt>
                <c:pt idx="13">
                  <c:v>8.9000000000000037E-2</c:v>
                </c:pt>
                <c:pt idx="14">
                  <c:v>8.8000000000000023E-2</c:v>
                </c:pt>
                <c:pt idx="15">
                  <c:v>8.6000000000000021E-2</c:v>
                </c:pt>
                <c:pt idx="16">
                  <c:v>8.6000000000000021E-2</c:v>
                </c:pt>
                <c:pt idx="17">
                  <c:v>8.4000000000000019E-2</c:v>
                </c:pt>
                <c:pt idx="18">
                  <c:v>8.3000000000000018E-2</c:v>
                </c:pt>
                <c:pt idx="19">
                  <c:v>8.3000000000000018E-2</c:v>
                </c:pt>
                <c:pt idx="20">
                  <c:v>8.4000000000000019E-2</c:v>
                </c:pt>
                <c:pt idx="21">
                  <c:v>8.3000000000000018E-2</c:v>
                </c:pt>
                <c:pt idx="22">
                  <c:v>8.2000000000000003E-2</c:v>
                </c:pt>
                <c:pt idx="23">
                  <c:v>8.1000000000000003E-2</c:v>
                </c:pt>
                <c:pt idx="24">
                  <c:v>7.9000000000000015E-2</c:v>
                </c:pt>
                <c:pt idx="25">
                  <c:v>7.8000000000000014E-2</c:v>
                </c:pt>
                <c:pt idx="26">
                  <c:v>7.8000000000000014E-2</c:v>
                </c:pt>
                <c:pt idx="27">
                  <c:v>7.9000000000000015E-2</c:v>
                </c:pt>
                <c:pt idx="28">
                  <c:v>7.8000000000000014E-2</c:v>
                </c:pt>
                <c:pt idx="29">
                  <c:v>7.6999999999999999E-2</c:v>
                </c:pt>
                <c:pt idx="30">
                  <c:v>7.5000000000000011E-2</c:v>
                </c:pt>
                <c:pt idx="31">
                  <c:v>7.3999999999999996E-2</c:v>
                </c:pt>
                <c:pt idx="32">
                  <c:v>7.1999999999999995E-2</c:v>
                </c:pt>
                <c:pt idx="33">
                  <c:v>7.0000000000000021E-2</c:v>
                </c:pt>
                <c:pt idx="34">
                  <c:v>6.900000000000002E-2</c:v>
                </c:pt>
                <c:pt idx="35">
                  <c:v>6.900000000000002E-2</c:v>
                </c:pt>
                <c:pt idx="36">
                  <c:v>6.900000000000002E-2</c:v>
                </c:pt>
                <c:pt idx="37">
                  <c:v>7.3000000000000009E-2</c:v>
                </c:pt>
                <c:pt idx="38">
                  <c:v>7.1999999999999995E-2</c:v>
                </c:pt>
                <c:pt idx="39">
                  <c:v>7.1999999999999995E-2</c:v>
                </c:pt>
                <c:pt idx="40">
                  <c:v>7.0999999999999994E-2</c:v>
                </c:pt>
                <c:pt idx="41">
                  <c:v>7.0999999999999994E-2</c:v>
                </c:pt>
                <c:pt idx="42">
                  <c:v>7.0999999999999994E-2</c:v>
                </c:pt>
                <c:pt idx="43">
                  <c:v>7.0999999999999994E-2</c:v>
                </c:pt>
                <c:pt idx="44">
                  <c:v>7.1999999999999995E-2</c:v>
                </c:pt>
                <c:pt idx="45">
                  <c:v>7.3000000000000009E-2</c:v>
                </c:pt>
                <c:pt idx="46">
                  <c:v>7.3000000000000009E-2</c:v>
                </c:pt>
                <c:pt idx="47">
                  <c:v>7.5000000000000011E-2</c:v>
                </c:pt>
                <c:pt idx="48">
                  <c:v>7.5000000000000011E-2</c:v>
                </c:pt>
                <c:pt idx="49">
                  <c:v>7.6999999999999999E-2</c:v>
                </c:pt>
                <c:pt idx="50">
                  <c:v>7.8000000000000014E-2</c:v>
                </c:pt>
                <c:pt idx="51">
                  <c:v>8.0000000000000016E-2</c:v>
                </c:pt>
                <c:pt idx="52">
                  <c:v>8.2000000000000003E-2</c:v>
                </c:pt>
                <c:pt idx="53">
                  <c:v>8.5000000000000006E-2</c:v>
                </c:pt>
                <c:pt idx="54">
                  <c:v>8.9000000000000037E-2</c:v>
                </c:pt>
                <c:pt idx="55">
                  <c:v>9.2000000000000026E-2</c:v>
                </c:pt>
                <c:pt idx="56">
                  <c:v>9.5000000000000015E-2</c:v>
                </c:pt>
                <c:pt idx="57">
                  <c:v>9.4000000000000014E-2</c:v>
                </c:pt>
                <c:pt idx="58">
                  <c:v>9.5000000000000015E-2</c:v>
                </c:pt>
                <c:pt idx="59">
                  <c:v>9.6000000000000002E-2</c:v>
                </c:pt>
                <c:pt idx="60">
                  <c:v>9.7000000000000003E-2</c:v>
                </c:pt>
                <c:pt idx="61">
                  <c:v>9.8000000000000018E-2</c:v>
                </c:pt>
                <c:pt idx="62">
                  <c:v>0.1</c:v>
                </c:pt>
                <c:pt idx="63">
                  <c:v>0.1</c:v>
                </c:pt>
                <c:pt idx="64">
                  <c:v>9.9000000000000019E-2</c:v>
                </c:pt>
                <c:pt idx="65">
                  <c:v>0.1</c:v>
                </c:pt>
                <c:pt idx="66">
                  <c:v>0.1</c:v>
                </c:pt>
                <c:pt idx="67">
                  <c:v>0.10100000000000002</c:v>
                </c:pt>
                <c:pt idx="68">
                  <c:v>0.1</c:v>
                </c:pt>
                <c:pt idx="69">
                  <c:v>0.1</c:v>
                </c:pt>
                <c:pt idx="70">
                  <c:v>0.1</c:v>
                </c:pt>
                <c:pt idx="71">
                  <c:v>0.10100000000000002</c:v>
                </c:pt>
                <c:pt idx="72">
                  <c:v>0.10100000000000002</c:v>
                </c:pt>
                <c:pt idx="73">
                  <c:v>0.10100000000000002</c:v>
                </c:pt>
                <c:pt idx="74">
                  <c:v>0.10100000000000002</c:v>
                </c:pt>
                <c:pt idx="75">
                  <c:v>0.1</c:v>
                </c:pt>
                <c:pt idx="76">
                  <c:v>9.9000000000000019E-2</c:v>
                </c:pt>
                <c:pt idx="77">
                  <c:v>9.9000000000000019E-2</c:v>
                </c:pt>
                <c:pt idx="78">
                  <c:v>9.9000000000000019E-2</c:v>
                </c:pt>
                <c:pt idx="79">
                  <c:v>9.9000000000000019E-2</c:v>
                </c:pt>
                <c:pt idx="80">
                  <c:v>9.9000000000000019E-2</c:v>
                </c:pt>
                <c:pt idx="81">
                  <c:v>0.1</c:v>
                </c:pt>
                <c:pt idx="82">
                  <c:v>0.1</c:v>
                </c:pt>
                <c:pt idx="83">
                  <c:v>0.10199999999999998</c:v>
                </c:pt>
                <c:pt idx="84">
                  <c:v>0.10299999999999998</c:v>
                </c:pt>
              </c:numCache>
            </c:numRef>
          </c:val>
        </c:ser>
        <c:marker val="1"/>
        <c:axId val="72894336"/>
        <c:axId val="72895872"/>
      </c:lineChart>
      <c:dateAx>
        <c:axId val="72894336"/>
        <c:scaling>
          <c:orientation val="minMax"/>
        </c:scaling>
        <c:axPos val="b"/>
        <c:majorGridlines>
          <c:spPr>
            <a:ln>
              <a:prstDash val="sysDot"/>
            </a:ln>
          </c:spPr>
        </c:majorGridlines>
        <c:numFmt formatCode="[$-419]mmmm\ yyyy;@" sourceLinked="1"/>
        <c:majorTickMark val="none"/>
        <c:tickLblPos val="low"/>
        <c:txPr>
          <a:bodyPr rot="-5400000" vert="horz"/>
          <a:lstStyle/>
          <a:p>
            <a:pPr>
              <a:defRPr>
                <a:solidFill>
                  <a:srgbClr val="00B050"/>
                </a:solidFill>
              </a:defRPr>
            </a:pPr>
            <a:endParaRPr lang="ru-RU"/>
          </a:p>
        </c:txPr>
        <c:crossAx val="72895872"/>
        <c:crosses val="autoZero"/>
        <c:auto val="1"/>
        <c:lblOffset val="100"/>
      </c:dateAx>
      <c:valAx>
        <c:axId val="72895872"/>
        <c:scaling>
          <c:orientation val="minMax"/>
        </c:scaling>
        <c:axPos val="l"/>
        <c:majorGridlines>
          <c:spPr>
            <a:ln w="9525">
              <a:prstDash val="sysDot"/>
            </a:ln>
          </c:spPr>
        </c:majorGridlines>
        <c:numFmt formatCode="0.0%" sourceLinked="1"/>
        <c:majorTickMark val="none"/>
        <c:tickLblPos val="nextTo"/>
        <c:txPr>
          <a:bodyPr/>
          <a:lstStyle/>
          <a:p>
            <a:pPr>
              <a:defRPr>
                <a:solidFill>
                  <a:srgbClr val="00B050"/>
                </a:solidFill>
              </a:defRPr>
            </a:pPr>
            <a:endParaRPr lang="ru-RU"/>
          </a:p>
        </c:txPr>
        <c:crossAx val="72894336"/>
        <c:crosses val="autoZero"/>
        <c:crossBetween val="between"/>
      </c:valAx>
    </c:plotArea>
    <c:plotVisOnly val="1"/>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solidFill>
                  <a:srgbClr val="00B050"/>
                </a:solidFill>
              </a:defRPr>
            </a:pPr>
            <a:r>
              <a:rPr lang="ru-RU"/>
              <a:t>Уровень безработицы (США)</a:t>
            </a:r>
          </a:p>
        </c:rich>
      </c:tx>
    </c:title>
    <c:plotArea>
      <c:layout/>
      <c:lineChart>
        <c:grouping val="standard"/>
        <c:ser>
          <c:idx val="0"/>
          <c:order val="0"/>
          <c:spPr>
            <a:ln>
              <a:solidFill>
                <a:schemeClr val="accent6"/>
              </a:solidFill>
            </a:ln>
          </c:spPr>
          <c:marker>
            <c:symbol val="none"/>
          </c:marker>
          <c:cat>
            <c:numRef>
              <c:f>Лист1!$A$1:$A$99</c:f>
              <c:numCache>
                <c:formatCode>[$-419]mmmm\ yyyy;@</c:formatCode>
                <c:ptCount val="99"/>
                <c:pt idx="0">
                  <c:v>37834.6875</c:v>
                </c:pt>
                <c:pt idx="1">
                  <c:v>37869.6875</c:v>
                </c:pt>
                <c:pt idx="2">
                  <c:v>37897.6875</c:v>
                </c:pt>
                <c:pt idx="3">
                  <c:v>37932.6875</c:v>
                </c:pt>
                <c:pt idx="4">
                  <c:v>37960.6875</c:v>
                </c:pt>
                <c:pt idx="5">
                  <c:v>37995.6875</c:v>
                </c:pt>
                <c:pt idx="6">
                  <c:v>38023.6875</c:v>
                </c:pt>
                <c:pt idx="7">
                  <c:v>38051.6875</c:v>
                </c:pt>
                <c:pt idx="8">
                  <c:v>38079.72916666665</c:v>
                </c:pt>
                <c:pt idx="9">
                  <c:v>38114.72916666665</c:v>
                </c:pt>
                <c:pt idx="10">
                  <c:v>38142.6875</c:v>
                </c:pt>
                <c:pt idx="11">
                  <c:v>38170.6875</c:v>
                </c:pt>
                <c:pt idx="12">
                  <c:v>38205.6875</c:v>
                </c:pt>
                <c:pt idx="13">
                  <c:v>38233.6875</c:v>
                </c:pt>
                <c:pt idx="14">
                  <c:v>38268.6875</c:v>
                </c:pt>
                <c:pt idx="15">
                  <c:v>38296.6875</c:v>
                </c:pt>
                <c:pt idx="16">
                  <c:v>38324.6875</c:v>
                </c:pt>
                <c:pt idx="17">
                  <c:v>38359.6875</c:v>
                </c:pt>
                <c:pt idx="18">
                  <c:v>38387.6875</c:v>
                </c:pt>
                <c:pt idx="19">
                  <c:v>38415.6875</c:v>
                </c:pt>
                <c:pt idx="20">
                  <c:v>38443.72916666665</c:v>
                </c:pt>
                <c:pt idx="21">
                  <c:v>38478.6875</c:v>
                </c:pt>
                <c:pt idx="22">
                  <c:v>38506.6875</c:v>
                </c:pt>
                <c:pt idx="23">
                  <c:v>38541.6875</c:v>
                </c:pt>
                <c:pt idx="24">
                  <c:v>38569.6875</c:v>
                </c:pt>
                <c:pt idx="25">
                  <c:v>38597.6875</c:v>
                </c:pt>
                <c:pt idx="26">
                  <c:v>38632.6875</c:v>
                </c:pt>
                <c:pt idx="27">
                  <c:v>38660.6875</c:v>
                </c:pt>
                <c:pt idx="28">
                  <c:v>38688.6875</c:v>
                </c:pt>
                <c:pt idx="29">
                  <c:v>38723.6875</c:v>
                </c:pt>
                <c:pt idx="30">
                  <c:v>38751.6875</c:v>
                </c:pt>
                <c:pt idx="31">
                  <c:v>38786.6875</c:v>
                </c:pt>
                <c:pt idx="32">
                  <c:v>38814.6875</c:v>
                </c:pt>
                <c:pt idx="33">
                  <c:v>38842.6875</c:v>
                </c:pt>
                <c:pt idx="34">
                  <c:v>38870.6875</c:v>
                </c:pt>
                <c:pt idx="35">
                  <c:v>38905.6875</c:v>
                </c:pt>
                <c:pt idx="36">
                  <c:v>38933.6875</c:v>
                </c:pt>
                <c:pt idx="37">
                  <c:v>38961.6875</c:v>
                </c:pt>
                <c:pt idx="38">
                  <c:v>38996.6875</c:v>
                </c:pt>
                <c:pt idx="39">
                  <c:v>39024.6875</c:v>
                </c:pt>
                <c:pt idx="40">
                  <c:v>39059.6875</c:v>
                </c:pt>
                <c:pt idx="41">
                  <c:v>39115.6875</c:v>
                </c:pt>
                <c:pt idx="42">
                  <c:v>39150.6875</c:v>
                </c:pt>
                <c:pt idx="43">
                  <c:v>39178.6875</c:v>
                </c:pt>
                <c:pt idx="44">
                  <c:v>39206.6875</c:v>
                </c:pt>
                <c:pt idx="45">
                  <c:v>39234.6875</c:v>
                </c:pt>
                <c:pt idx="46">
                  <c:v>39269.6875</c:v>
                </c:pt>
                <c:pt idx="47">
                  <c:v>39297.6875</c:v>
                </c:pt>
                <c:pt idx="48">
                  <c:v>39332.6875</c:v>
                </c:pt>
                <c:pt idx="49">
                  <c:v>39360.6875</c:v>
                </c:pt>
                <c:pt idx="50">
                  <c:v>39388.645833333336</c:v>
                </c:pt>
                <c:pt idx="51">
                  <c:v>39423.6875</c:v>
                </c:pt>
                <c:pt idx="52">
                  <c:v>39479.6875</c:v>
                </c:pt>
                <c:pt idx="53">
                  <c:v>39514.6875</c:v>
                </c:pt>
                <c:pt idx="54">
                  <c:v>39542.6875</c:v>
                </c:pt>
                <c:pt idx="55">
                  <c:v>39570.6875</c:v>
                </c:pt>
                <c:pt idx="56">
                  <c:v>39605.6875</c:v>
                </c:pt>
                <c:pt idx="57">
                  <c:v>39632.6875</c:v>
                </c:pt>
                <c:pt idx="58">
                  <c:v>39661.6875</c:v>
                </c:pt>
                <c:pt idx="59">
                  <c:v>39696.6875</c:v>
                </c:pt>
                <c:pt idx="60">
                  <c:v>39724.6875</c:v>
                </c:pt>
                <c:pt idx="61">
                  <c:v>39759.6875</c:v>
                </c:pt>
                <c:pt idx="62">
                  <c:v>39787.6875</c:v>
                </c:pt>
                <c:pt idx="63">
                  <c:v>39822.6875</c:v>
                </c:pt>
                <c:pt idx="64">
                  <c:v>39850.6875</c:v>
                </c:pt>
                <c:pt idx="65">
                  <c:v>39878.6875</c:v>
                </c:pt>
                <c:pt idx="66">
                  <c:v>39906.6875</c:v>
                </c:pt>
                <c:pt idx="67">
                  <c:v>39941.6875</c:v>
                </c:pt>
                <c:pt idx="68">
                  <c:v>39969.6875</c:v>
                </c:pt>
                <c:pt idx="69">
                  <c:v>39996.6875</c:v>
                </c:pt>
                <c:pt idx="70">
                  <c:v>40032.6875</c:v>
                </c:pt>
                <c:pt idx="71">
                  <c:v>40060.6875</c:v>
                </c:pt>
                <c:pt idx="72">
                  <c:v>40088.6875</c:v>
                </c:pt>
                <c:pt idx="73">
                  <c:v>40123.6875</c:v>
                </c:pt>
                <c:pt idx="74">
                  <c:v>40151.6875</c:v>
                </c:pt>
                <c:pt idx="75">
                  <c:v>40186.6875</c:v>
                </c:pt>
                <c:pt idx="76">
                  <c:v>40214.6875</c:v>
                </c:pt>
                <c:pt idx="77">
                  <c:v>40242.6875</c:v>
                </c:pt>
                <c:pt idx="78">
                  <c:v>40270.6875</c:v>
                </c:pt>
                <c:pt idx="79">
                  <c:v>40305.6875</c:v>
                </c:pt>
                <c:pt idx="80">
                  <c:v>40333.6875</c:v>
                </c:pt>
                <c:pt idx="81">
                  <c:v>40361.6875</c:v>
                </c:pt>
                <c:pt idx="82">
                  <c:v>40396.6875</c:v>
                </c:pt>
                <c:pt idx="83">
                  <c:v>40424.6875</c:v>
                </c:pt>
                <c:pt idx="84">
                  <c:v>40459.6875</c:v>
                </c:pt>
                <c:pt idx="85">
                  <c:v>40487.645833333336</c:v>
                </c:pt>
                <c:pt idx="86">
                  <c:v>40515.6875</c:v>
                </c:pt>
                <c:pt idx="87">
                  <c:v>40550.6875</c:v>
                </c:pt>
                <c:pt idx="88">
                  <c:v>40578.6875</c:v>
                </c:pt>
                <c:pt idx="89">
                  <c:v>40606.6875</c:v>
                </c:pt>
                <c:pt idx="90">
                  <c:v>40634.6875</c:v>
                </c:pt>
                <c:pt idx="91">
                  <c:v>40669.6875</c:v>
                </c:pt>
                <c:pt idx="92">
                  <c:v>40697.6875</c:v>
                </c:pt>
                <c:pt idx="93">
                  <c:v>40732.6875</c:v>
                </c:pt>
                <c:pt idx="94">
                  <c:v>40760</c:v>
                </c:pt>
                <c:pt idx="95">
                  <c:v>40788</c:v>
                </c:pt>
                <c:pt idx="96">
                  <c:v>40823</c:v>
                </c:pt>
                <c:pt idx="97">
                  <c:v>40851</c:v>
                </c:pt>
                <c:pt idx="98">
                  <c:v>40879</c:v>
                </c:pt>
              </c:numCache>
            </c:numRef>
          </c:cat>
          <c:val>
            <c:numRef>
              <c:f>Лист1!$C$1:$C$99</c:f>
              <c:numCache>
                <c:formatCode>0.0%</c:formatCode>
                <c:ptCount val="99"/>
                <c:pt idx="0">
                  <c:v>6.2000000000000006E-2</c:v>
                </c:pt>
                <c:pt idx="1">
                  <c:v>6.2000000000000006E-2</c:v>
                </c:pt>
                <c:pt idx="2">
                  <c:v>6.2000000000000006E-2</c:v>
                </c:pt>
                <c:pt idx="3">
                  <c:v>6.0000000000000005E-2</c:v>
                </c:pt>
                <c:pt idx="4">
                  <c:v>6.0000000000000005E-2</c:v>
                </c:pt>
                <c:pt idx="5">
                  <c:v>5.7000000000000009E-2</c:v>
                </c:pt>
                <c:pt idx="6">
                  <c:v>5.6000000000000001E-2</c:v>
                </c:pt>
                <c:pt idx="7">
                  <c:v>5.6000000000000001E-2</c:v>
                </c:pt>
                <c:pt idx="8">
                  <c:v>5.5000000000000007E-2</c:v>
                </c:pt>
                <c:pt idx="9">
                  <c:v>5.7000000000000009E-2</c:v>
                </c:pt>
                <c:pt idx="10">
                  <c:v>5.6000000000000001E-2</c:v>
                </c:pt>
                <c:pt idx="11">
                  <c:v>5.6000000000000001E-2</c:v>
                </c:pt>
                <c:pt idx="12">
                  <c:v>5.5000000000000007E-2</c:v>
                </c:pt>
                <c:pt idx="13">
                  <c:v>5.3999999999999999E-2</c:v>
                </c:pt>
                <c:pt idx="14">
                  <c:v>5.3999999999999999E-2</c:v>
                </c:pt>
                <c:pt idx="15">
                  <c:v>5.5000000000000007E-2</c:v>
                </c:pt>
                <c:pt idx="16">
                  <c:v>5.3999999999999999E-2</c:v>
                </c:pt>
                <c:pt idx="17">
                  <c:v>5.3999999999999999E-2</c:v>
                </c:pt>
                <c:pt idx="18">
                  <c:v>5.1999999999999998E-2</c:v>
                </c:pt>
                <c:pt idx="19">
                  <c:v>5.3999999999999999E-2</c:v>
                </c:pt>
                <c:pt idx="20">
                  <c:v>5.1999999999999998E-2</c:v>
                </c:pt>
                <c:pt idx="21">
                  <c:v>5.1999999999999998E-2</c:v>
                </c:pt>
                <c:pt idx="22">
                  <c:v>5.1000000000000004E-2</c:v>
                </c:pt>
                <c:pt idx="23">
                  <c:v>0.05</c:v>
                </c:pt>
                <c:pt idx="24">
                  <c:v>0.05</c:v>
                </c:pt>
                <c:pt idx="25">
                  <c:v>4.9000000000000009E-2</c:v>
                </c:pt>
                <c:pt idx="26">
                  <c:v>5.1000000000000004E-2</c:v>
                </c:pt>
                <c:pt idx="27">
                  <c:v>0.05</c:v>
                </c:pt>
                <c:pt idx="28">
                  <c:v>0.05</c:v>
                </c:pt>
                <c:pt idx="29">
                  <c:v>4.9000000000000009E-2</c:v>
                </c:pt>
                <c:pt idx="30">
                  <c:v>4.7000000000000007E-2</c:v>
                </c:pt>
                <c:pt idx="31">
                  <c:v>4.8000000000000001E-2</c:v>
                </c:pt>
                <c:pt idx="32">
                  <c:v>4.7000000000000007E-2</c:v>
                </c:pt>
                <c:pt idx="33">
                  <c:v>4.7000000000000007E-2</c:v>
                </c:pt>
                <c:pt idx="34">
                  <c:v>4.7000000000000007E-2</c:v>
                </c:pt>
                <c:pt idx="35">
                  <c:v>4.5999999999999999E-2</c:v>
                </c:pt>
                <c:pt idx="36">
                  <c:v>4.8000000000000001E-2</c:v>
                </c:pt>
                <c:pt idx="37">
                  <c:v>4.7000000000000007E-2</c:v>
                </c:pt>
                <c:pt idx="38">
                  <c:v>4.5999999999999999E-2</c:v>
                </c:pt>
                <c:pt idx="39">
                  <c:v>4.3999999999999997E-2</c:v>
                </c:pt>
                <c:pt idx="40">
                  <c:v>4.5000000000000005E-2</c:v>
                </c:pt>
                <c:pt idx="41">
                  <c:v>4.5999999999999999E-2</c:v>
                </c:pt>
                <c:pt idx="42">
                  <c:v>4.5000000000000005E-2</c:v>
                </c:pt>
                <c:pt idx="43">
                  <c:v>4.3999999999999997E-2</c:v>
                </c:pt>
                <c:pt idx="44">
                  <c:v>4.5000000000000005E-2</c:v>
                </c:pt>
                <c:pt idx="45">
                  <c:v>4.5000000000000005E-2</c:v>
                </c:pt>
                <c:pt idx="46">
                  <c:v>4.5000000000000005E-2</c:v>
                </c:pt>
                <c:pt idx="47">
                  <c:v>4.5999999999999999E-2</c:v>
                </c:pt>
                <c:pt idx="48">
                  <c:v>4.5999999999999999E-2</c:v>
                </c:pt>
                <c:pt idx="49">
                  <c:v>4.7000000000000007E-2</c:v>
                </c:pt>
                <c:pt idx="50">
                  <c:v>4.7000000000000007E-2</c:v>
                </c:pt>
                <c:pt idx="51">
                  <c:v>4.7000000000000007E-2</c:v>
                </c:pt>
                <c:pt idx="52">
                  <c:v>4.9000000000000009E-2</c:v>
                </c:pt>
                <c:pt idx="53">
                  <c:v>4.8000000000000001E-2</c:v>
                </c:pt>
                <c:pt idx="54">
                  <c:v>5.1000000000000004E-2</c:v>
                </c:pt>
                <c:pt idx="55">
                  <c:v>0.05</c:v>
                </c:pt>
                <c:pt idx="56">
                  <c:v>5.5000000000000007E-2</c:v>
                </c:pt>
                <c:pt idx="57">
                  <c:v>5.5000000000000007E-2</c:v>
                </c:pt>
                <c:pt idx="58">
                  <c:v>5.7000000000000009E-2</c:v>
                </c:pt>
                <c:pt idx="59">
                  <c:v>6.1000000000000006E-2</c:v>
                </c:pt>
                <c:pt idx="60">
                  <c:v>6.1000000000000006E-2</c:v>
                </c:pt>
                <c:pt idx="61">
                  <c:v>6.5000000000000002E-2</c:v>
                </c:pt>
                <c:pt idx="62">
                  <c:v>6.7000000000000004E-2</c:v>
                </c:pt>
                <c:pt idx="63">
                  <c:v>7.1999999999999995E-2</c:v>
                </c:pt>
                <c:pt idx="64">
                  <c:v>7.5999999999999998E-2</c:v>
                </c:pt>
                <c:pt idx="65">
                  <c:v>8.1000000000000003E-2</c:v>
                </c:pt>
                <c:pt idx="66">
                  <c:v>8.5000000000000006E-2</c:v>
                </c:pt>
                <c:pt idx="67">
                  <c:v>8.9000000000000037E-2</c:v>
                </c:pt>
                <c:pt idx="68">
                  <c:v>9.4000000000000014E-2</c:v>
                </c:pt>
                <c:pt idx="69">
                  <c:v>9.5000000000000015E-2</c:v>
                </c:pt>
                <c:pt idx="70">
                  <c:v>9.4000000000000014E-2</c:v>
                </c:pt>
                <c:pt idx="71">
                  <c:v>9.7000000000000003E-2</c:v>
                </c:pt>
                <c:pt idx="72">
                  <c:v>9.8000000000000018E-2</c:v>
                </c:pt>
                <c:pt idx="73">
                  <c:v>0.10199999999999998</c:v>
                </c:pt>
                <c:pt idx="74">
                  <c:v>0.1</c:v>
                </c:pt>
                <c:pt idx="75">
                  <c:v>0.1</c:v>
                </c:pt>
                <c:pt idx="76">
                  <c:v>9.7000000000000003E-2</c:v>
                </c:pt>
                <c:pt idx="77">
                  <c:v>9.7000000000000003E-2</c:v>
                </c:pt>
                <c:pt idx="78">
                  <c:v>9.7000000000000003E-2</c:v>
                </c:pt>
                <c:pt idx="79">
                  <c:v>9.9000000000000019E-2</c:v>
                </c:pt>
                <c:pt idx="80">
                  <c:v>9.7000000000000003E-2</c:v>
                </c:pt>
                <c:pt idx="81">
                  <c:v>9.5000000000000015E-2</c:v>
                </c:pt>
                <c:pt idx="82">
                  <c:v>9.5000000000000015E-2</c:v>
                </c:pt>
                <c:pt idx="83">
                  <c:v>9.6000000000000002E-2</c:v>
                </c:pt>
                <c:pt idx="84">
                  <c:v>9.6000000000000002E-2</c:v>
                </c:pt>
                <c:pt idx="85">
                  <c:v>9.6000000000000002E-2</c:v>
                </c:pt>
                <c:pt idx="86">
                  <c:v>9.8000000000000018E-2</c:v>
                </c:pt>
                <c:pt idx="87">
                  <c:v>9.4000000000000014E-2</c:v>
                </c:pt>
                <c:pt idx="88">
                  <c:v>9.0000000000000011E-2</c:v>
                </c:pt>
                <c:pt idx="89">
                  <c:v>8.9000000000000037E-2</c:v>
                </c:pt>
                <c:pt idx="90">
                  <c:v>8.8000000000000023E-2</c:v>
                </c:pt>
                <c:pt idx="91">
                  <c:v>9.0000000000000011E-2</c:v>
                </c:pt>
                <c:pt idx="92">
                  <c:v>9.1000000000000025E-2</c:v>
                </c:pt>
                <c:pt idx="93">
                  <c:v>9.2000000000000026E-2</c:v>
                </c:pt>
                <c:pt idx="94">
                  <c:v>9.1000000000000025E-2</c:v>
                </c:pt>
                <c:pt idx="95">
                  <c:v>9.1000000000000025E-2</c:v>
                </c:pt>
                <c:pt idx="96">
                  <c:v>9.1000000000000025E-2</c:v>
                </c:pt>
                <c:pt idx="97">
                  <c:v>9.0000000000000011E-2</c:v>
                </c:pt>
                <c:pt idx="98">
                  <c:v>8.6000000000000021E-2</c:v>
                </c:pt>
              </c:numCache>
            </c:numRef>
          </c:val>
        </c:ser>
        <c:marker val="1"/>
        <c:axId val="80328960"/>
        <c:axId val="79626240"/>
      </c:lineChart>
      <c:dateAx>
        <c:axId val="80328960"/>
        <c:scaling>
          <c:orientation val="minMax"/>
        </c:scaling>
        <c:axPos val="b"/>
        <c:majorGridlines>
          <c:spPr>
            <a:ln>
              <a:prstDash val="sysDot"/>
            </a:ln>
          </c:spPr>
        </c:majorGridlines>
        <c:numFmt formatCode="[$-419]mmmm\ yyyy;@" sourceLinked="1"/>
        <c:majorTickMark val="none"/>
        <c:tickLblPos val="low"/>
        <c:txPr>
          <a:bodyPr rot="-5400000" vert="horz"/>
          <a:lstStyle/>
          <a:p>
            <a:pPr>
              <a:defRPr>
                <a:solidFill>
                  <a:srgbClr val="00B050"/>
                </a:solidFill>
              </a:defRPr>
            </a:pPr>
            <a:endParaRPr lang="ru-RU"/>
          </a:p>
        </c:txPr>
        <c:crossAx val="79626240"/>
        <c:crosses val="autoZero"/>
        <c:auto val="1"/>
        <c:lblOffset val="100"/>
      </c:dateAx>
      <c:valAx>
        <c:axId val="79626240"/>
        <c:scaling>
          <c:orientation val="minMax"/>
        </c:scaling>
        <c:axPos val="l"/>
        <c:majorGridlines>
          <c:spPr>
            <a:ln w="9525">
              <a:prstDash val="sysDot"/>
            </a:ln>
          </c:spPr>
        </c:majorGridlines>
        <c:numFmt formatCode="0.0%" sourceLinked="1"/>
        <c:majorTickMark val="none"/>
        <c:tickLblPos val="nextTo"/>
        <c:txPr>
          <a:bodyPr/>
          <a:lstStyle/>
          <a:p>
            <a:pPr>
              <a:defRPr>
                <a:solidFill>
                  <a:srgbClr val="00B050"/>
                </a:solidFill>
              </a:defRPr>
            </a:pPr>
            <a:endParaRPr lang="ru-RU"/>
          </a:p>
        </c:txPr>
        <c:crossAx val="80328960"/>
        <c:crosses val="autoZero"/>
        <c:crossBetween val="between"/>
      </c:valAx>
    </c:plotArea>
    <c:plotVisOnly val="1"/>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E25B-6751-4864-ABB5-E6E4E306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1615</Words>
  <Characters>9208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120</cp:revision>
  <dcterms:created xsi:type="dcterms:W3CDTF">2011-11-13T21:31:00Z</dcterms:created>
  <dcterms:modified xsi:type="dcterms:W3CDTF">2011-12-05T09:33:00Z</dcterms:modified>
</cp:coreProperties>
</file>