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1A" w:rsidRPr="00D60E03" w:rsidRDefault="007C0B65">
      <w:pPr>
        <w:rPr>
          <w:rFonts w:ascii="Arial" w:hAnsi="Arial" w:cs="Arial"/>
          <w:sz w:val="24"/>
          <w:szCs w:val="24"/>
        </w:rPr>
      </w:pPr>
      <w:r w:rsidRPr="00D60E03">
        <w:rPr>
          <w:rFonts w:ascii="Arial" w:hAnsi="Arial" w:cs="Arial"/>
          <w:sz w:val="24"/>
          <w:szCs w:val="24"/>
        </w:rPr>
        <w:t xml:space="preserve">На прошлой неделе российский рынок акций восстанавливался вслед за некоторым улучшением внешнего фона. По итогам недели индекс РТС прибавил 3,8%, индекс ММВБ – 3,9%.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sz w:val="24"/>
          <w:szCs w:val="24"/>
        </w:rPr>
        <w:br/>
        <w:t xml:space="preserve">Во-первых, рынок вновь сфокусировался на вероятном решении ФРС о начале QE3 в сентябре, основываясь на выступлении Б. </w:t>
      </w:r>
      <w:proofErr w:type="spellStart"/>
      <w:r w:rsidRPr="00D60E03">
        <w:rPr>
          <w:rFonts w:ascii="Arial" w:hAnsi="Arial" w:cs="Arial"/>
          <w:sz w:val="24"/>
          <w:szCs w:val="24"/>
        </w:rPr>
        <w:t>Бернанке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26 августа в </w:t>
      </w:r>
      <w:proofErr w:type="spellStart"/>
      <w:r w:rsidRPr="00D60E03">
        <w:rPr>
          <w:rFonts w:ascii="Arial" w:hAnsi="Arial" w:cs="Arial"/>
          <w:sz w:val="24"/>
          <w:szCs w:val="24"/>
        </w:rPr>
        <w:t>Джексон-Холле</w:t>
      </w:r>
      <w:proofErr w:type="spellEnd"/>
      <w:r w:rsidRPr="00D60E03">
        <w:rPr>
          <w:rFonts w:ascii="Arial" w:hAnsi="Arial" w:cs="Arial"/>
          <w:sz w:val="24"/>
          <w:szCs w:val="24"/>
        </w:rPr>
        <w:t>, где он заявил о наличии у ФРС инструментов поддержки экономического роста и намерении провести детальное обсуждение этих мер на очередном заседании 21-22 сентября</w:t>
      </w:r>
      <w:proofErr w:type="gramStart"/>
      <w:r w:rsidRPr="00D60E0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60E03">
        <w:rPr>
          <w:rFonts w:ascii="Arial" w:hAnsi="Arial" w:cs="Arial"/>
          <w:sz w:val="24"/>
          <w:szCs w:val="24"/>
        </w:rPr>
        <w:t xml:space="preserve"> а также на опубликованных 30 августа </w:t>
      </w:r>
      <w:proofErr w:type="gramStart"/>
      <w:r w:rsidRPr="00D60E03">
        <w:rPr>
          <w:rFonts w:ascii="Arial" w:hAnsi="Arial" w:cs="Arial"/>
          <w:sz w:val="24"/>
          <w:szCs w:val="24"/>
        </w:rPr>
        <w:t>протоколах</w:t>
      </w:r>
      <w:proofErr w:type="gramEnd"/>
      <w:r w:rsidRPr="00D60E03">
        <w:rPr>
          <w:rFonts w:ascii="Arial" w:hAnsi="Arial" w:cs="Arial"/>
          <w:sz w:val="24"/>
          <w:szCs w:val="24"/>
        </w:rPr>
        <w:t xml:space="preserve"> последнего заседания  FOMC, показавших, что часть членов комитета выступала за дополнительные стимулирующие меры. Статданные из США на прошлой неделе были неоднозначны, однако поддержку рынку оказали превысившие </w:t>
      </w:r>
      <w:proofErr w:type="gramStart"/>
      <w:r w:rsidRPr="00D60E03">
        <w:rPr>
          <w:rFonts w:ascii="Arial" w:hAnsi="Arial" w:cs="Arial"/>
          <w:sz w:val="24"/>
          <w:szCs w:val="24"/>
        </w:rPr>
        <w:t>ожидания</w:t>
      </w:r>
      <w:proofErr w:type="gramEnd"/>
      <w:r w:rsidRPr="00D60E03">
        <w:rPr>
          <w:rFonts w:ascii="Arial" w:hAnsi="Arial" w:cs="Arial"/>
          <w:sz w:val="24"/>
          <w:szCs w:val="24"/>
        </w:rPr>
        <w:t xml:space="preserve"> данные по потребительским расходам в июле, фабричным заказам и производственной активности.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sz w:val="24"/>
          <w:szCs w:val="24"/>
        </w:rPr>
        <w:br/>
        <w:t xml:space="preserve">В то же время в конце недели ситуация вновь омрачилась негативным отчетом о занятости в США, усилившим опасения рецессии в крупнейшей экономике мира. Кроме того, стало известно о приостановке переговоров Греции с международными финансовыми организациями о предоставлении очередного транша по первой программе финансовой помощи (май 2010), а СМИ сообщили о разногласиях между Грецией и группой ЕС-МВФ-ЕЦБ по выполнению программы бюджетной консолидации из-за ухудшения прогнозов бюджетного дефицита страны. Это усилило сомнения в  реализации второго пакета экстренной помощи, одобренной в конце июля на саммите еврозоны, но еще не утвержденной парламентами европейских стран. Давление на рынок оказала также информация о том, что Федеральное агентство жилищного финансирования США подало иски против  17 крупнейших американских и глобальных банков на 196 </w:t>
      </w:r>
      <w:proofErr w:type="spellStart"/>
      <w:proofErr w:type="gramStart"/>
      <w:r w:rsidRPr="00D60E03">
        <w:rPr>
          <w:rFonts w:ascii="Arial" w:hAnsi="Arial" w:cs="Arial"/>
          <w:sz w:val="24"/>
          <w:szCs w:val="24"/>
        </w:rPr>
        <w:t>млрд</w:t>
      </w:r>
      <w:proofErr w:type="spellEnd"/>
      <w:proofErr w:type="gramEnd"/>
      <w:r w:rsidRPr="00D60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E03">
        <w:rPr>
          <w:rFonts w:ascii="Arial" w:hAnsi="Arial" w:cs="Arial"/>
          <w:sz w:val="24"/>
          <w:szCs w:val="24"/>
        </w:rPr>
        <w:t>долл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с обвинениями в неадекватном представлении </w:t>
      </w:r>
      <w:r w:rsidRPr="00D60E03">
        <w:rPr>
          <w:rFonts w:ascii="Arial" w:hAnsi="Arial" w:cs="Arial"/>
          <w:color w:val="2F2F2F"/>
          <w:sz w:val="24"/>
          <w:szCs w:val="24"/>
        </w:rPr>
        <w:t xml:space="preserve">информации о качестве и рисках ипотечных ценных бумаг, проданных этими банками агентствам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Fannie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Mae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and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Freddie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Mac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накануне кризиса.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color w:val="2F2F2F"/>
          <w:sz w:val="24"/>
          <w:szCs w:val="24"/>
        </w:rPr>
        <w:t xml:space="preserve">Лидерами роста за неделю среди российских акций стали ТМК (+17,5%),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Ростелеком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(+14,5%), Роснефть (+10,2%),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Новатэк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(+10,1%),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Распадская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(9,9%). Драйвером роста для ТМК стала отчетность по МСФО за 1П11, акции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Ростелекома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поддержало их включение с 1 сентября в структуру индекса MSCI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Russia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, а Роснефть отыгрывала соглашение о стратегическом партнерстве с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ExxonMobil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по освоению арктического шельфа.  </w:t>
      </w:r>
      <w:r w:rsidRPr="00D60E03">
        <w:rPr>
          <w:rFonts w:ascii="Arial" w:hAnsi="Arial" w:cs="Arial"/>
          <w:sz w:val="24"/>
          <w:szCs w:val="24"/>
        </w:rPr>
        <w:t xml:space="preserve">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color w:val="2F2F2F"/>
          <w:sz w:val="24"/>
          <w:szCs w:val="24"/>
        </w:rPr>
        <w:t xml:space="preserve">В пятницу российский рынок открылся снижением на фоне негативного закрытия торгов в США и ухудшения динамики на азиатских фондовых рынках – перед выходными участники рынка опасались слабого отчета по рынку труда в США и закрывали длинные позиции, фиксируя прибыль от роста акций в предыдущие дни. 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sz w:val="24"/>
          <w:szCs w:val="24"/>
        </w:rPr>
        <w:br/>
        <w:t xml:space="preserve">Отчет по рынку труда США оказался значительно хуже ожиданий, усилив падение рынков. В августе американская экономика не создала новых рабочих мест, что </w:t>
      </w:r>
      <w:r w:rsidRPr="00D60E03">
        <w:rPr>
          <w:rFonts w:ascii="Arial" w:hAnsi="Arial" w:cs="Arial"/>
          <w:sz w:val="24"/>
          <w:szCs w:val="24"/>
        </w:rPr>
        <w:lastRenderedPageBreak/>
        <w:t xml:space="preserve">стало худшим результатом за последние  11 месяцев, а данные за прошлые 2 месяца были пересмотрены в сторону снижения. Консенсус-прогноз предполагал создание в августе 68 </w:t>
      </w:r>
      <w:proofErr w:type="spellStart"/>
      <w:proofErr w:type="gramStart"/>
      <w:r w:rsidRPr="00D60E03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Pr="00D60E03">
        <w:rPr>
          <w:rFonts w:ascii="Arial" w:hAnsi="Arial" w:cs="Arial"/>
          <w:sz w:val="24"/>
          <w:szCs w:val="24"/>
        </w:rPr>
        <w:t xml:space="preserve"> рабочих мест, а для снижения безработицы требуется не менее 150 </w:t>
      </w:r>
      <w:proofErr w:type="spellStart"/>
      <w:r w:rsidRPr="00D60E03">
        <w:rPr>
          <w:rFonts w:ascii="Arial" w:hAnsi="Arial" w:cs="Arial"/>
          <w:sz w:val="24"/>
          <w:szCs w:val="24"/>
        </w:rPr>
        <w:t>тыс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новых рабочих мест в месяц. Также отчет показал умеренное снижение почасовых доходов и продолжительности рабочей недели. В целом, отчет был воспринят рынком как свидетельство очень слабого состояния рынка труда США, который увеличивает шансы перехода экономики в рецессию, но одновременно  повышает вероятность начала реализации QE3.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sz w:val="24"/>
          <w:szCs w:val="24"/>
        </w:rPr>
        <w:br/>
        <w:t xml:space="preserve">Американский рынок в пятницу существенно «просел» после отчета о занятости – индексы потеряли в среднем 2,2-2,6%. В Европе падение было еще более глубоким – британский FTSE потерял 2,3%, немецкий DAX – 3,4%, французский CAC – 3,6%. Цены на нефть снизились </w:t>
      </w:r>
      <w:proofErr w:type="spellStart"/>
      <w:r w:rsidRPr="00D60E03">
        <w:rPr>
          <w:rFonts w:ascii="Arial" w:hAnsi="Arial" w:cs="Arial"/>
          <w:sz w:val="24"/>
          <w:szCs w:val="24"/>
        </w:rPr>
        <w:t>Brent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(-1,7%), WTI (-2,6%). Усилилось давление на рынке суверенных долгов Европы – </w:t>
      </w:r>
      <w:proofErr w:type="spellStart"/>
      <w:r w:rsidRPr="00D60E03">
        <w:rPr>
          <w:rFonts w:ascii="Arial" w:hAnsi="Arial" w:cs="Arial"/>
          <w:sz w:val="24"/>
          <w:szCs w:val="24"/>
        </w:rPr>
        <w:t>спред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доходности итальянских </w:t>
      </w:r>
      <w:proofErr w:type="spellStart"/>
      <w:r w:rsidRPr="00D60E03">
        <w:rPr>
          <w:rFonts w:ascii="Arial" w:hAnsi="Arial" w:cs="Arial"/>
          <w:sz w:val="24"/>
          <w:szCs w:val="24"/>
        </w:rPr>
        <w:t>гособлигаций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достиг максимума за период с начала августа, когда ЕЦБ стал проводить покупки </w:t>
      </w:r>
      <w:proofErr w:type="spellStart"/>
      <w:r w:rsidRPr="00D60E03">
        <w:rPr>
          <w:rFonts w:ascii="Arial" w:hAnsi="Arial" w:cs="Arial"/>
          <w:sz w:val="24"/>
          <w:szCs w:val="24"/>
        </w:rPr>
        <w:t>гособлигаций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Италии и Испании. Одновременно дорожали «защитные активы» - доходность UST-10 опускалась в ходе торгов ниже 2%, золото повысилось в цене более чем на 3%, вновь устремившись к $1900/</w:t>
      </w:r>
      <w:proofErr w:type="spellStart"/>
      <w:r w:rsidRPr="00D60E03">
        <w:rPr>
          <w:rFonts w:ascii="Arial" w:hAnsi="Arial" w:cs="Arial"/>
          <w:sz w:val="24"/>
          <w:szCs w:val="24"/>
        </w:rPr>
        <w:t>Oz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.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sz w:val="24"/>
          <w:szCs w:val="24"/>
        </w:rPr>
        <w:br/>
        <w:t xml:space="preserve">По итогам дня в пятницу российский  рынок акций существенно снизился – индекс ММВБ потерял 2,3%, а индекс РТС 2,7%. Практически все ликвидные бумаги закрылись в негативной зоне – хуже рынка торговались акции Газпрома (-3,6%), </w:t>
      </w:r>
      <w:proofErr w:type="spellStart"/>
      <w:r w:rsidRPr="00D60E03">
        <w:rPr>
          <w:rFonts w:ascii="Arial" w:hAnsi="Arial" w:cs="Arial"/>
          <w:sz w:val="24"/>
          <w:szCs w:val="24"/>
        </w:rPr>
        <w:t>Сургутнефтегаза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(-3,5%), Сбербанка (-3,2%) и ВТБ (-2,9%). Давление на акции Газпрома усилилось из-за заявлений правительства Украины о пересмотре газовых соглашений с российской газовой монополией, а акции банков пострадали вслед за резким падением котировок бумаг финансового сектора на западных рынках. Исключением стали акции Полюс Золота, подорожавшие на 0,6% - за счет повышения цен на золото и оферты на выкуп акций у </w:t>
      </w:r>
      <w:proofErr w:type="spellStart"/>
      <w:r w:rsidRPr="00D60E03">
        <w:rPr>
          <w:rFonts w:ascii="Arial" w:hAnsi="Arial" w:cs="Arial"/>
          <w:sz w:val="24"/>
          <w:szCs w:val="24"/>
        </w:rPr>
        <w:t>миноритарных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акционеров по цене выше рынка.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sz w:val="24"/>
          <w:szCs w:val="24"/>
        </w:rPr>
        <w:br/>
      </w:r>
      <w:proofErr w:type="gramStart"/>
      <w:r w:rsidRPr="00D60E03">
        <w:rPr>
          <w:rFonts w:ascii="Arial" w:hAnsi="Arial" w:cs="Arial"/>
          <w:sz w:val="24"/>
          <w:szCs w:val="24"/>
        </w:rPr>
        <w:t xml:space="preserve">Решение рейтингового агентства </w:t>
      </w:r>
      <w:proofErr w:type="spellStart"/>
      <w:r w:rsidRPr="00D60E03">
        <w:rPr>
          <w:rFonts w:ascii="Arial" w:hAnsi="Arial" w:cs="Arial"/>
          <w:sz w:val="24"/>
          <w:szCs w:val="24"/>
        </w:rPr>
        <w:t>Fitch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о подтверждении рейтинга России на уровне ВВВ с позитивным прогнозом не оказало влияния на рынок – несмотря на сильный внешний баланс, низкий госдолг и умеренный бюджетный дефицит, в комментарии отмечается заметно выросшая зависимость российского бюджета от нефтегазовых доходов и уязвимость к падению цен на нефть, а также неблагоприятный деловой климат и некоторое повышение политической неопределенности в связи</w:t>
      </w:r>
      <w:proofErr w:type="gramEnd"/>
      <w:r w:rsidRPr="00D60E03">
        <w:rPr>
          <w:rFonts w:ascii="Arial" w:hAnsi="Arial" w:cs="Arial"/>
          <w:sz w:val="24"/>
          <w:szCs w:val="24"/>
        </w:rPr>
        <w:t xml:space="preserve"> с предстоящими выборами.  Такой комментарий, в сочетании с возросшими рисками для мировой экономики, вряд ли позволяет надеяться на повышение российского рейтинга в ближайшие месяцы.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sz w:val="24"/>
          <w:szCs w:val="24"/>
        </w:rPr>
        <w:br/>
        <w:t>Сегодня утром внешний фон продолжает ухудшаться – азиатские фондовые индексы снижаются (</w:t>
      </w:r>
      <w:r w:rsidRPr="00D60E03">
        <w:rPr>
          <w:rFonts w:ascii="Arial" w:hAnsi="Arial" w:cs="Arial"/>
          <w:color w:val="2F2F2F"/>
          <w:sz w:val="24"/>
          <w:szCs w:val="24"/>
        </w:rPr>
        <w:t xml:space="preserve">MSCI </w:t>
      </w:r>
      <w:hyperlink r:id="rId4" w:history="1">
        <w:proofErr w:type="spellStart"/>
        <w:r w:rsidRPr="00D60E03">
          <w:rPr>
            <w:rStyle w:val="a3"/>
            <w:rFonts w:ascii="Arial" w:hAnsi="Arial" w:cs="Arial"/>
            <w:color w:val="2F2F2F"/>
            <w:sz w:val="24"/>
            <w:szCs w:val="24"/>
          </w:rPr>
          <w:t>Asia</w:t>
        </w:r>
        <w:proofErr w:type="spellEnd"/>
      </w:hyperlink>
      <w:r w:rsidRPr="00D60E03">
        <w:rPr>
          <w:rFonts w:ascii="Arial" w:hAnsi="Arial" w:cs="Arial"/>
          <w:color w:val="2F2F2F"/>
          <w:sz w:val="24"/>
          <w:szCs w:val="24"/>
        </w:rPr>
        <w:t xml:space="preserve">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Pacific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-2,3%), дешевеют нефтяные фьючерсы (снижение в пределах 1%), в отрицательной зоне торгуются фьючерсы на S&amp;P500, продолжается укрепление защитных валют. Курс EUR/USD понизился до минимума за последние 3 недели. Рынки продолжают отыгрывать негативный пятничный отчет о занятости в США и европейские проблемы. Провал партии </w:t>
      </w:r>
      <w:r w:rsidRPr="00D60E03">
        <w:rPr>
          <w:rFonts w:ascii="Arial" w:hAnsi="Arial" w:cs="Arial"/>
          <w:color w:val="2F2F2F"/>
          <w:sz w:val="24"/>
          <w:szCs w:val="24"/>
        </w:rPr>
        <w:lastRenderedPageBreak/>
        <w:t xml:space="preserve">ХДС, возглавляемой канцлером Германии А.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Меркель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, на воскресных региональных выборах в </w:t>
      </w:r>
      <w:r w:rsidRPr="00D60E03">
        <w:rPr>
          <w:rFonts w:ascii="Arial" w:hAnsi="Arial" w:cs="Arial"/>
          <w:sz w:val="24"/>
          <w:szCs w:val="24"/>
        </w:rPr>
        <w:t>земле Мекленбург-Передняя Померания</w:t>
      </w:r>
      <w:r w:rsidRPr="00D60E03">
        <w:rPr>
          <w:rFonts w:ascii="Arial" w:hAnsi="Arial" w:cs="Arial"/>
          <w:color w:val="2F2F2F"/>
          <w:sz w:val="24"/>
          <w:szCs w:val="24"/>
        </w:rPr>
        <w:t xml:space="preserve">, на родине политика, был воспринят как сигнал растущего внутриполитического недовольства действиями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Меркель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в решении проблем еврозоны, что может осложнить возможности дальнейшей поддержки Германией более слабых государств региона в будущем.  </w:t>
      </w:r>
      <w:r w:rsid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sz w:val="24"/>
          <w:szCs w:val="24"/>
        </w:rPr>
        <w:br/>
      </w:r>
      <w:proofErr w:type="gramStart"/>
      <w:r w:rsidRPr="00D60E03">
        <w:rPr>
          <w:rFonts w:ascii="Arial" w:hAnsi="Arial" w:cs="Arial"/>
          <w:sz w:val="24"/>
          <w:szCs w:val="24"/>
        </w:rPr>
        <w:t xml:space="preserve">Основные события предстоящей недели – выступление Президента США Б. </w:t>
      </w:r>
      <w:proofErr w:type="spellStart"/>
      <w:r w:rsidRPr="00D60E03">
        <w:rPr>
          <w:rFonts w:ascii="Arial" w:hAnsi="Arial" w:cs="Arial"/>
          <w:sz w:val="24"/>
          <w:szCs w:val="24"/>
        </w:rPr>
        <w:t>Обамы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с мерами по поддержке рынка труда (8 сентября); заседание ЕЦБ и пресс-конференция </w:t>
      </w:r>
      <w:proofErr w:type="spellStart"/>
      <w:r w:rsidRPr="00D60E03">
        <w:rPr>
          <w:rFonts w:ascii="Arial" w:hAnsi="Arial" w:cs="Arial"/>
          <w:sz w:val="24"/>
          <w:szCs w:val="24"/>
        </w:rPr>
        <w:t>Трише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(8 сентября), в ходе которой могут прозвучать сигналы смягчения денежной политики в условиях ослабления роста европейской экономики и финансового кризиса; встреча министров финансов и представителей </w:t>
      </w:r>
      <w:proofErr w:type="spellStart"/>
      <w:r w:rsidRPr="00D60E03">
        <w:rPr>
          <w:rFonts w:ascii="Arial" w:hAnsi="Arial" w:cs="Arial"/>
          <w:sz w:val="24"/>
          <w:szCs w:val="24"/>
        </w:rPr>
        <w:t>центробанков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G7 (9-10 сентября).</w:t>
      </w:r>
      <w:proofErr w:type="gramEnd"/>
      <w:r w:rsidRPr="00D60E03">
        <w:rPr>
          <w:rFonts w:ascii="Arial" w:hAnsi="Arial" w:cs="Arial"/>
          <w:sz w:val="24"/>
          <w:szCs w:val="24"/>
        </w:rPr>
        <w:t xml:space="preserve"> Из статистики недели наиболее значимые отчеты - индекс деловой активности в непроизводственном секторе США (6 сентября), </w:t>
      </w:r>
      <w:proofErr w:type="spellStart"/>
      <w:r w:rsidRPr="00D60E03">
        <w:rPr>
          <w:rFonts w:ascii="Arial" w:hAnsi="Arial" w:cs="Arial"/>
          <w:sz w:val="24"/>
          <w:szCs w:val="24"/>
        </w:rPr>
        <w:t>промпроизводство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 в Германии (7 сентября), блок статистики по Китаю – </w:t>
      </w:r>
      <w:proofErr w:type="spellStart"/>
      <w:r w:rsidRPr="00D60E03">
        <w:rPr>
          <w:rFonts w:ascii="Arial" w:hAnsi="Arial" w:cs="Arial"/>
          <w:sz w:val="24"/>
          <w:szCs w:val="24"/>
        </w:rPr>
        <w:t>промпроизводство</w:t>
      </w:r>
      <w:proofErr w:type="spellEnd"/>
      <w:r w:rsidRPr="00D60E03">
        <w:rPr>
          <w:rFonts w:ascii="Arial" w:hAnsi="Arial" w:cs="Arial"/>
          <w:sz w:val="24"/>
          <w:szCs w:val="24"/>
        </w:rPr>
        <w:t xml:space="preserve">, инвестиции, розничные продажи, инфляция (8-9 сентября).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color w:val="2F2F2F"/>
          <w:sz w:val="24"/>
          <w:szCs w:val="24"/>
        </w:rPr>
        <w:t xml:space="preserve">В целом, основные факторы нестабильности – отсутствие единства в еврозоне по разрешению долгового кризиса, ухудшение состояния американской экономики и риски старых и новых «скелетов в шкафах» американских и европейских банков, по-прежнему сохраняют актуальность. В то же время в течение сентября рынки могут попытаться отыграть часть августовских потерь на ожиданиях сигналов о начале QE3 и возможных заявлениях </w:t>
      </w:r>
      <w:proofErr w:type="spellStart"/>
      <w:r w:rsidRPr="00D60E03">
        <w:rPr>
          <w:rFonts w:ascii="Arial" w:hAnsi="Arial" w:cs="Arial"/>
          <w:color w:val="2F2F2F"/>
          <w:sz w:val="24"/>
          <w:szCs w:val="24"/>
        </w:rPr>
        <w:t>Обамы</w:t>
      </w:r>
      <w:proofErr w:type="spellEnd"/>
      <w:r w:rsidRPr="00D60E03">
        <w:rPr>
          <w:rFonts w:ascii="Arial" w:hAnsi="Arial" w:cs="Arial"/>
          <w:color w:val="2F2F2F"/>
          <w:sz w:val="24"/>
          <w:szCs w:val="24"/>
        </w:rPr>
        <w:t xml:space="preserve"> о поддержке создания новых рабочих мест. При этом мало кто всерьез надеется на действенность очередной программы «количественного смягчения» для поддержки экономического роста.  </w:t>
      </w:r>
      <w:r w:rsidRPr="00D60E03">
        <w:rPr>
          <w:rFonts w:ascii="Arial" w:hAnsi="Arial" w:cs="Arial"/>
          <w:sz w:val="24"/>
          <w:szCs w:val="24"/>
        </w:rPr>
        <w:br/>
        <w:t xml:space="preserve"> 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color w:val="002060"/>
          <w:sz w:val="24"/>
          <w:szCs w:val="24"/>
        </w:rPr>
        <w:t> </w:t>
      </w:r>
      <w:r w:rsidRPr="00D60E03">
        <w:rPr>
          <w:rFonts w:ascii="Arial" w:hAnsi="Arial" w:cs="Arial"/>
          <w:sz w:val="24"/>
          <w:szCs w:val="24"/>
        </w:rPr>
        <w:t xml:space="preserve">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color w:val="002060"/>
          <w:sz w:val="24"/>
          <w:szCs w:val="24"/>
        </w:rPr>
        <w:t>Ольга Беленькая,</w:t>
      </w:r>
      <w:r w:rsidRPr="00D60E03">
        <w:rPr>
          <w:rFonts w:ascii="Arial" w:hAnsi="Arial" w:cs="Arial"/>
          <w:sz w:val="24"/>
          <w:szCs w:val="24"/>
        </w:rPr>
        <w:t xml:space="preserve">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color w:val="002060"/>
          <w:sz w:val="24"/>
          <w:szCs w:val="24"/>
        </w:rPr>
        <w:t>зам. руководителя аналитического департамент</w:t>
      </w:r>
      <w:proofErr w:type="gramStart"/>
      <w:r w:rsidRPr="00D60E03">
        <w:rPr>
          <w:rFonts w:ascii="Arial" w:hAnsi="Arial" w:cs="Arial"/>
          <w:color w:val="002060"/>
          <w:sz w:val="24"/>
          <w:szCs w:val="24"/>
        </w:rPr>
        <w:t>а</w:t>
      </w:r>
      <w:r w:rsidRPr="00D60E03">
        <w:rPr>
          <w:rFonts w:ascii="Arial" w:hAnsi="Arial" w:cs="Arial"/>
          <w:sz w:val="24"/>
          <w:szCs w:val="24"/>
        </w:rPr>
        <w:t xml:space="preserve">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color w:val="002060"/>
          <w:sz w:val="24"/>
          <w:szCs w:val="24"/>
        </w:rPr>
        <w:t>ООО</w:t>
      </w:r>
      <w:proofErr w:type="gramEnd"/>
      <w:r w:rsidRPr="00D60E03">
        <w:rPr>
          <w:rFonts w:ascii="Arial" w:hAnsi="Arial" w:cs="Arial"/>
          <w:color w:val="002060"/>
          <w:sz w:val="24"/>
          <w:szCs w:val="24"/>
        </w:rPr>
        <w:t xml:space="preserve"> "СОВЛИНК"</w:t>
      </w:r>
      <w:r w:rsidRPr="00D60E03">
        <w:rPr>
          <w:rFonts w:ascii="Arial" w:hAnsi="Arial" w:cs="Arial"/>
          <w:sz w:val="24"/>
          <w:szCs w:val="24"/>
        </w:rPr>
        <w:t xml:space="preserve"> </w:t>
      </w:r>
      <w:r w:rsidRPr="00D60E03">
        <w:rPr>
          <w:rFonts w:ascii="Arial" w:hAnsi="Arial" w:cs="Arial"/>
          <w:sz w:val="24"/>
          <w:szCs w:val="24"/>
        </w:rPr>
        <w:br/>
      </w:r>
      <w:r w:rsidRPr="00D60E03">
        <w:rPr>
          <w:rFonts w:ascii="Arial" w:hAnsi="Arial" w:cs="Arial"/>
          <w:color w:val="002060"/>
          <w:sz w:val="24"/>
          <w:szCs w:val="24"/>
        </w:rPr>
        <w:t> </w:t>
      </w:r>
      <w:r w:rsidRPr="00D60E03">
        <w:rPr>
          <w:rFonts w:ascii="Arial" w:hAnsi="Arial" w:cs="Arial"/>
          <w:sz w:val="24"/>
          <w:szCs w:val="24"/>
        </w:rPr>
        <w:t xml:space="preserve"> </w:t>
      </w:r>
      <w:r w:rsidRPr="00D60E03">
        <w:rPr>
          <w:rFonts w:ascii="Arial" w:hAnsi="Arial" w:cs="Arial"/>
          <w:sz w:val="24"/>
          <w:szCs w:val="24"/>
        </w:rPr>
        <w:br/>
      </w:r>
    </w:p>
    <w:sectPr w:rsidR="002E311A" w:rsidRPr="00D60E03" w:rsidSect="0066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0B65"/>
    <w:rsid w:val="002558AA"/>
    <w:rsid w:val="0034103E"/>
    <w:rsid w:val="003E7E3F"/>
    <w:rsid w:val="003F6927"/>
    <w:rsid w:val="00640CAE"/>
    <w:rsid w:val="00666EBE"/>
    <w:rsid w:val="007C0B65"/>
    <w:rsid w:val="0090695C"/>
    <w:rsid w:val="00C463B7"/>
    <w:rsid w:val="00D60E03"/>
    <w:rsid w:val="00E5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0B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pics.bloomberg.com/as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1121</Words>
  <Characters>6391</Characters>
  <Application>Microsoft Office Word</Application>
  <DocSecurity>0</DocSecurity>
  <Lines>53</Lines>
  <Paragraphs>14</Paragraphs>
  <ScaleCrop>false</ScaleCrop>
  <Company>Finam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3</cp:revision>
  <dcterms:created xsi:type="dcterms:W3CDTF">2011-09-05T10:10:00Z</dcterms:created>
  <dcterms:modified xsi:type="dcterms:W3CDTF">2011-09-05T10:15:00Z</dcterms:modified>
</cp:coreProperties>
</file>