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1A" w:rsidRDefault="003F231A" w:rsidP="003F231A">
      <w:pPr>
        <w:pStyle w:val="a3"/>
      </w:pPr>
      <w:r>
        <w:t>Безработица, долговые проблемы, потребительские настроения тянут вниз</w:t>
      </w:r>
    </w:p>
    <w:p w:rsidR="003F231A" w:rsidRDefault="003F231A" w:rsidP="003F231A">
      <w:pPr>
        <w:pStyle w:val="a3"/>
      </w:pPr>
    </w:p>
    <w:p w:rsidR="003F231A" w:rsidRDefault="003F231A" w:rsidP="003F231A">
      <w:pPr>
        <w:pStyle w:val="a3"/>
      </w:pPr>
      <w:r>
        <w:t xml:space="preserve">В предстоящие дни рынкам нужно будет преодолевать синдром неуверенности, придавивший цены к концу прошедшей и в начале текущей недели. Напомним, что оптимизм, внушенный выступлениями </w:t>
      </w:r>
      <w:proofErr w:type="spellStart"/>
      <w:r>
        <w:t>Б.Бернанке</w:t>
      </w:r>
      <w:proofErr w:type="spellEnd"/>
      <w:r>
        <w:t xml:space="preserve"> на банковской конференции </w:t>
      </w:r>
      <w:proofErr w:type="gramStart"/>
      <w:r>
        <w:t>в</w:t>
      </w:r>
      <w:proofErr w:type="gramEnd"/>
      <w:r>
        <w:t xml:space="preserve"> Джексон-Холл, заметно «выветрился» к началу сентября и по рынкам прокатилась волна не очень активных, но настойчивых распродаж. </w:t>
      </w:r>
    </w:p>
    <w:p w:rsidR="007F6841" w:rsidRPr="007F6841" w:rsidRDefault="007F6841" w:rsidP="007F6841"/>
    <w:p w:rsidR="003F231A" w:rsidRDefault="003F231A" w:rsidP="003F231A">
      <w:pPr>
        <w:pStyle w:val="a3"/>
      </w:pPr>
      <w:r>
        <w:t xml:space="preserve">Пока это еще можно воспринимать как коррекцию к росту, но допустимые пределы сохранения настроений на рост уже не очень далеки, да и причины, для появившегося пессимизма тоже весьма значительны. В пятницу было сообщено, что в США за месяц не было создано новых рабочих мест. </w:t>
      </w:r>
      <w:proofErr w:type="gramStart"/>
      <w:r>
        <w:t>При том</w:t>
      </w:r>
      <w:proofErr w:type="gramEnd"/>
      <w:r>
        <w:t xml:space="preserve">, что рост населения в США  составляет порядка 3 млн. в год отсутствие роста числа рабочих мест означает, что растет доля иждивенцев. Пусть формально число безработных осталось на прежнем уровне в 9,1%.  Но число рабочих мест в несельскохозяйственной сфере продолжает оставаться на минимальных уровнях вблизи 42% от общего числа жителей страны. Экономика замедляется. Не удивительно, что вышедшие индексы потребительских настроений показывают уверенное снижение. </w:t>
      </w:r>
    </w:p>
    <w:p w:rsidR="007F6841" w:rsidRPr="007F6841" w:rsidRDefault="007F6841" w:rsidP="007F6841"/>
    <w:p w:rsidR="003F231A" w:rsidRDefault="003F231A" w:rsidP="003F231A">
      <w:pPr>
        <w:pStyle w:val="a3"/>
      </w:pPr>
      <w:r>
        <w:t xml:space="preserve">Кроме того, долговые проблемы показали новый накат обострений. </w:t>
      </w:r>
      <w:proofErr w:type="gramStart"/>
      <w:r>
        <w:t>По</w:t>
      </w:r>
      <w:proofErr w:type="gramEnd"/>
      <w:r>
        <w:t xml:space="preserve"> </w:t>
      </w:r>
      <w:proofErr w:type="gramStart"/>
      <w:r>
        <w:t>долгами</w:t>
      </w:r>
      <w:proofErr w:type="gramEnd"/>
      <w:r>
        <w:t xml:space="preserve"> Греции все еще не удается найти компромиссных решений. На этот раз МВФ высказался против идеи залога при выделении помощи Греции. Но тогда основные кредиторы отказываются от предоставления новых кредитов. (Да и с залогами они не очень жаждут расставаться со своими деньгами). На этом фоне доходность облигаций Греции продолжила рост. За двухлетки на сегодня просят уже 47%. За </w:t>
      </w:r>
      <w:proofErr w:type="gramStart"/>
      <w:r>
        <w:t>греческими</w:t>
      </w:r>
      <w:proofErr w:type="gramEnd"/>
      <w:r>
        <w:t xml:space="preserve"> потянулись вверх доходности Испании и Италии. </w:t>
      </w:r>
    </w:p>
    <w:p w:rsidR="007F6841" w:rsidRPr="007F6841" w:rsidRDefault="007F6841" w:rsidP="007F6841"/>
    <w:p w:rsidR="003F231A" w:rsidRDefault="003F231A" w:rsidP="003F231A">
      <w:pPr>
        <w:pStyle w:val="a3"/>
      </w:pPr>
      <w:r>
        <w:t xml:space="preserve">Еще одним серьезным раздражителем конца недели было известие, что правительство США в лице FHFA подало иск в суд против ряда банков по ипотечным кредитам. Там формально истекал срок исковой давности (3 года с 2008-го). </w:t>
      </w:r>
      <w:proofErr w:type="gramStart"/>
      <w:r>
        <w:t>Возможно</w:t>
      </w:r>
      <w:proofErr w:type="gramEnd"/>
      <w:r>
        <w:t xml:space="preserve"> это пока останется чистой формальностью, но может стать началом мощной капании против банковского сектора. Общая сумма исков приближается к $200 млрд. Например, размер претензий к Bank of America составляет $6 млрд. Для финансового </w:t>
      </w:r>
      <w:proofErr w:type="gramStart"/>
      <w:r>
        <w:t>учреждения</w:t>
      </w:r>
      <w:proofErr w:type="gramEnd"/>
      <w:r>
        <w:t xml:space="preserve"> запутавшегося в проблемах это более, чем солидная сумма. </w:t>
      </w:r>
    </w:p>
    <w:p w:rsidR="007F6841" w:rsidRPr="007F6841" w:rsidRDefault="007F6841" w:rsidP="007F6841"/>
    <w:p w:rsidR="003F231A" w:rsidRDefault="003F231A" w:rsidP="003F231A">
      <w:pPr>
        <w:pStyle w:val="a3"/>
      </w:pPr>
      <w:r>
        <w:t xml:space="preserve">На таком фоне открытие рынков было </w:t>
      </w:r>
      <w:proofErr w:type="gramStart"/>
      <w:r>
        <w:t>существенно отрицательным</w:t>
      </w:r>
      <w:proofErr w:type="gramEnd"/>
      <w:r>
        <w:t xml:space="preserve">. Но на </w:t>
      </w:r>
      <w:proofErr w:type="gramStart"/>
      <w:r>
        <w:t>этом</w:t>
      </w:r>
      <w:proofErr w:type="gramEnd"/>
      <w:r>
        <w:t xml:space="preserve"> неприятности не закончились. Скорей всего снижение еще продолжится. Пока уровень поддержки, к которому тяготеет индекс ММВБ, располагается где-то в районе 1480 пунктов. Настроение на рынке сможет измениться не ранее вторника. Поскольку в понедельник торги в США проводиться не будут в связи с национальным праздником - Днем труда и игроки будут ожидать во вторник реакции рынка США после длинных выходных. </w:t>
      </w:r>
    </w:p>
    <w:p w:rsidR="007F6841" w:rsidRPr="007F6841" w:rsidRDefault="007F6841" w:rsidP="007F6841"/>
    <w:p w:rsidR="003F231A" w:rsidRDefault="003F231A" w:rsidP="003F231A">
      <w:pPr>
        <w:pStyle w:val="a3"/>
      </w:pPr>
      <w:r>
        <w:t xml:space="preserve">Наступающая неделя должна будет дать ответ на вопрос о том, в какой мере рынки надеются на новые стимулирующие меры от ФРС и насколько эффективными считает </w:t>
      </w:r>
      <w:r>
        <w:lastRenderedPageBreak/>
        <w:t xml:space="preserve">новые возможные программы. Просто обещаниями стабильности и новых стимулирующих мер инвесторов уже трудно заманивать в покупки. Обычно гораздо убедительнее на инвесторов действуют не слова, но реальное участие деньгами других инвесторов. А пока ФРС не готов поддерживать рынки не только словом, но и делом – столь ожидаемая программа </w:t>
      </w:r>
      <w:r>
        <w:rPr>
          <w:lang w:val="en-US"/>
        </w:rPr>
        <w:t>QE</w:t>
      </w:r>
      <w:r>
        <w:t xml:space="preserve">3 все же не была объявлена. (Правда обещание </w:t>
      </w:r>
      <w:proofErr w:type="gramStart"/>
      <w:r>
        <w:t>держать</w:t>
      </w:r>
      <w:proofErr w:type="gramEnd"/>
      <w:r>
        <w:t xml:space="preserve"> как минимум 2 года низкими процентные ставки тоже дорогого стоит).</w:t>
      </w:r>
    </w:p>
    <w:p w:rsidR="003F231A" w:rsidRDefault="003F231A" w:rsidP="003F231A">
      <w:pPr>
        <w:pStyle w:val="a3"/>
      </w:pPr>
    </w:p>
    <w:p w:rsidR="003F231A" w:rsidRDefault="003F231A" w:rsidP="003F231A">
      <w:pPr>
        <w:pStyle w:val="a3"/>
      </w:pPr>
      <w:r>
        <w:t xml:space="preserve">На предстоящей неделе макроэкономический календарь будет не таким насыщенным важнейшими событиями. Будет выходить торговый баланс США и данные по первичным обращениям за пособиями по безработице. Кроме того выйдет большой блок макроданных за август по Китаю. Из международных новостей в первую очередь нужно будет следить за намеченными на 8 сентября заседаниями банка Англии и ЕЦБ. Интересной будет пресс-конференция главы ЕЦБ Трише. Есть ожидания, что под занавес своей службы он может более откровенно высказаться по ряду сегодняшних проблем. Таким образом, самым интересным днем будет четверг. А наибольшую динамику на </w:t>
      </w:r>
      <w:proofErr w:type="gramStart"/>
      <w:r>
        <w:t>нашем</w:t>
      </w:r>
      <w:proofErr w:type="gramEnd"/>
      <w:r>
        <w:t xml:space="preserve"> рынке можно ожидать под занавес недели. Тем более</w:t>
      </w:r>
      <w:proofErr w:type="gramStart"/>
      <w:r>
        <w:t>,</w:t>
      </w:r>
      <w:proofErr w:type="gramEnd"/>
      <w:r>
        <w:t xml:space="preserve"> что ожидаемое выступление президента США было перенесено с заявленного ранее 7 на 8 сентября. Известно, что в этой речи Обама собирается обрисовать в общих чертах планы по созданию в стране новых рабочих мест. Проблемы безработицы, которая на сегодня в США составляет 9,1%, судя по всему, станут одной из ключевых тем предвыборной кампании 2012 года. Поступившие в пятницу данные об отсутствии роста числа рабочих мест вновь напомнили об остроте проблемы занятости. Самое интересное состоит в </w:t>
      </w:r>
      <w:proofErr w:type="gramStart"/>
      <w:r>
        <w:t>том</w:t>
      </w:r>
      <w:proofErr w:type="gramEnd"/>
      <w:r>
        <w:t xml:space="preserve"> как удастся совмещать предлагаемое администрацией США решение проблем занятости населения с балансированием расходов и доходов бюджета. Напомним, что одним из условий повышения потолка госдолга США было снижение дефицита бюджета. </w:t>
      </w:r>
    </w:p>
    <w:p w:rsidR="003F231A" w:rsidRDefault="003F231A" w:rsidP="003F231A">
      <w:pPr>
        <w:pStyle w:val="a3"/>
      </w:pPr>
    </w:p>
    <w:p w:rsidR="003F231A" w:rsidRDefault="003F231A" w:rsidP="003F231A">
      <w:pPr>
        <w:pStyle w:val="a3"/>
      </w:pPr>
      <w:r>
        <w:t xml:space="preserve">Цены на ключевой для нас актив – нефть будут реагировать на общую конъюнктуру и на данные о запасах в США. В фокусе внимания рынков будут подготовка и проведение 9 сентября очередной сессии ОПЕК, которая будет проходить под руководством министра нефтяной промышленности Ирана. Это очень интересные расклады. Сейчас, после падения власти </w:t>
      </w:r>
      <w:proofErr w:type="spellStart"/>
      <w:r>
        <w:t>Муамора</w:t>
      </w:r>
      <w:proofErr w:type="spellEnd"/>
      <w:r>
        <w:t xml:space="preserve"> </w:t>
      </w:r>
      <w:proofErr w:type="spellStart"/>
      <w:r>
        <w:t>Каддафи</w:t>
      </w:r>
      <w:proofErr w:type="spellEnd"/>
      <w:r>
        <w:t xml:space="preserve"> в Ливии, резких заявлений, а тем более решений об изменении квот скорей всего не будет. Но напомним, что на </w:t>
      </w:r>
      <w:proofErr w:type="gramStart"/>
      <w:r>
        <w:t>прошлом</w:t>
      </w:r>
      <w:proofErr w:type="gramEnd"/>
      <w:r>
        <w:t xml:space="preserve"> саммите ОПЕК квоты не были сохранены на прежнем уровне, но страны картеля просто не смоли получить единого решения, оставив решение о квотах на предстоящую встречу. Так что интрига здесь будет весьма яркой. </w:t>
      </w:r>
    </w:p>
    <w:p w:rsidR="003F231A" w:rsidRDefault="003F231A" w:rsidP="003F231A">
      <w:pPr>
        <w:pStyle w:val="a3"/>
      </w:pPr>
    </w:p>
    <w:p w:rsidR="003F231A" w:rsidRDefault="003F231A" w:rsidP="003F231A">
      <w:pPr>
        <w:pStyle w:val="a3"/>
      </w:pPr>
      <w:r>
        <w:t xml:space="preserve">На наступающую неделю вновь будет довольно интересным поток отчетных данных от российских компаний. В том числе ожидаются выходы полугодовой отчетности МТС, ТГК-1, </w:t>
      </w:r>
      <w:proofErr w:type="spellStart"/>
      <w:r>
        <w:t>Номос-Банка</w:t>
      </w:r>
      <w:proofErr w:type="spellEnd"/>
      <w:r>
        <w:t xml:space="preserve">, </w:t>
      </w:r>
      <w:proofErr w:type="spellStart"/>
      <w:r>
        <w:t>Ситроникса</w:t>
      </w:r>
      <w:proofErr w:type="spellEnd"/>
      <w:r>
        <w:t xml:space="preserve">, </w:t>
      </w:r>
      <w:proofErr w:type="spellStart"/>
      <w:r>
        <w:t>Дикси</w:t>
      </w:r>
      <w:proofErr w:type="spellEnd"/>
      <w:r>
        <w:t xml:space="preserve"> и Вымпелкома.  Компания  НОВАТЭК будет закрывать реестр акционеров для получения промежуточных дивидендов за 1П 2011г. В компаниях ТГК-1 и </w:t>
      </w:r>
      <w:proofErr w:type="spellStart"/>
      <w:r>
        <w:t>Транснефть</w:t>
      </w:r>
      <w:proofErr w:type="spellEnd"/>
      <w:r>
        <w:t xml:space="preserve"> пройдут заседания советов директоров. Компания РусГидро начнет прирастать новым выпуском акций, а акции </w:t>
      </w:r>
      <w:proofErr w:type="spellStart"/>
      <w:r>
        <w:t>РУСАЛа</w:t>
      </w:r>
      <w:proofErr w:type="spellEnd"/>
      <w:r>
        <w:t xml:space="preserve"> будут включены в расчет индексов гонконгской биржи. </w:t>
      </w:r>
    </w:p>
    <w:p w:rsidR="003F231A" w:rsidRDefault="003F231A" w:rsidP="003F231A">
      <w:pPr>
        <w:pStyle w:val="a3"/>
      </w:pPr>
    </w:p>
    <w:p w:rsidR="003F231A" w:rsidRDefault="003F231A" w:rsidP="003F231A">
      <w:pPr>
        <w:pStyle w:val="a3"/>
      </w:pPr>
      <w:r>
        <w:t xml:space="preserve">Несмотря на активную коррекцию и хорошее движение вниз в конце прошедшей недели, полагаем, что на наступающей неделе рынки еще должны найти силы для возобновления роста. </w:t>
      </w:r>
    </w:p>
    <w:sectPr w:rsidR="003F231A" w:rsidSect="001B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57F72"/>
    <w:rsid w:val="000209AD"/>
    <w:rsid w:val="000379DE"/>
    <w:rsid w:val="00057F72"/>
    <w:rsid w:val="0008706A"/>
    <w:rsid w:val="00095AF0"/>
    <w:rsid w:val="000B5865"/>
    <w:rsid w:val="000B7819"/>
    <w:rsid w:val="000B7F52"/>
    <w:rsid w:val="00100988"/>
    <w:rsid w:val="00113E66"/>
    <w:rsid w:val="001413F8"/>
    <w:rsid w:val="00143DA6"/>
    <w:rsid w:val="00153391"/>
    <w:rsid w:val="00183049"/>
    <w:rsid w:val="001A022F"/>
    <w:rsid w:val="001B788C"/>
    <w:rsid w:val="001E3FA5"/>
    <w:rsid w:val="00210E83"/>
    <w:rsid w:val="00260A73"/>
    <w:rsid w:val="00260B94"/>
    <w:rsid w:val="0026205D"/>
    <w:rsid w:val="0030705C"/>
    <w:rsid w:val="003154E7"/>
    <w:rsid w:val="0034349A"/>
    <w:rsid w:val="00356C86"/>
    <w:rsid w:val="00357318"/>
    <w:rsid w:val="00372643"/>
    <w:rsid w:val="003A349E"/>
    <w:rsid w:val="003A7911"/>
    <w:rsid w:val="003B3260"/>
    <w:rsid w:val="003F231A"/>
    <w:rsid w:val="00421931"/>
    <w:rsid w:val="004330C2"/>
    <w:rsid w:val="00471A09"/>
    <w:rsid w:val="00492D70"/>
    <w:rsid w:val="004A244F"/>
    <w:rsid w:val="004C7F1F"/>
    <w:rsid w:val="005122FD"/>
    <w:rsid w:val="005200B1"/>
    <w:rsid w:val="005473A8"/>
    <w:rsid w:val="0055271E"/>
    <w:rsid w:val="00565A11"/>
    <w:rsid w:val="00594C5B"/>
    <w:rsid w:val="005D54B2"/>
    <w:rsid w:val="005F6F9D"/>
    <w:rsid w:val="00646AC8"/>
    <w:rsid w:val="006E3033"/>
    <w:rsid w:val="00725962"/>
    <w:rsid w:val="00736F27"/>
    <w:rsid w:val="007A27A1"/>
    <w:rsid w:val="007A590B"/>
    <w:rsid w:val="007F6841"/>
    <w:rsid w:val="008A4B1C"/>
    <w:rsid w:val="008B5892"/>
    <w:rsid w:val="008D1EC0"/>
    <w:rsid w:val="0090159C"/>
    <w:rsid w:val="009138C1"/>
    <w:rsid w:val="00962381"/>
    <w:rsid w:val="00963DEA"/>
    <w:rsid w:val="009A0904"/>
    <w:rsid w:val="00B024FF"/>
    <w:rsid w:val="00B262CD"/>
    <w:rsid w:val="00B269C6"/>
    <w:rsid w:val="00B32907"/>
    <w:rsid w:val="00B86348"/>
    <w:rsid w:val="00BC20D9"/>
    <w:rsid w:val="00BC3EFA"/>
    <w:rsid w:val="00C05EF8"/>
    <w:rsid w:val="00C10D68"/>
    <w:rsid w:val="00C26ADE"/>
    <w:rsid w:val="00C2744C"/>
    <w:rsid w:val="00C56AA0"/>
    <w:rsid w:val="00C72C98"/>
    <w:rsid w:val="00C839CC"/>
    <w:rsid w:val="00CB5A63"/>
    <w:rsid w:val="00CD268B"/>
    <w:rsid w:val="00CE1FE9"/>
    <w:rsid w:val="00D55C95"/>
    <w:rsid w:val="00D62B1B"/>
    <w:rsid w:val="00D84BD1"/>
    <w:rsid w:val="00E43CB0"/>
    <w:rsid w:val="00E44C59"/>
    <w:rsid w:val="00E4703D"/>
    <w:rsid w:val="00E7056A"/>
    <w:rsid w:val="00EA7186"/>
    <w:rsid w:val="00F2107B"/>
    <w:rsid w:val="00F7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72"/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57F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1"/>
    <w:qFormat/>
    <w:rsid w:val="00962381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18"/>
      <w:lang w:eastAsia="ru-RU"/>
    </w:rPr>
  </w:style>
  <w:style w:type="paragraph" w:styleId="a4">
    <w:name w:val="List Paragraph"/>
    <w:aliases w:val="Мой"/>
    <w:basedOn w:val="a"/>
    <w:uiPriority w:val="34"/>
    <w:qFormat/>
    <w:rsid w:val="00962381"/>
    <w:pPr>
      <w:spacing w:before="120" w:after="120" w:line="240" w:lineRule="auto"/>
      <w:contextualSpacing/>
      <w:jc w:val="both"/>
    </w:pPr>
    <w:rPr>
      <w:rFonts w:ascii="Times New Roman" w:hAnsi="Times New Roman"/>
      <w:color w:val="000000"/>
      <w:sz w:val="24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96238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2381"/>
  </w:style>
  <w:style w:type="character" w:customStyle="1" w:styleId="20">
    <w:name w:val="Заголовок 2 Знак"/>
    <w:basedOn w:val="a0"/>
    <w:link w:val="2"/>
    <w:uiPriority w:val="9"/>
    <w:semiHidden/>
    <w:rsid w:val="00057F72"/>
    <w:rPr>
      <w:rFonts w:ascii="Calibri" w:hAnsi="Calibri" w:cs="Times New Roman"/>
      <w:b/>
      <w:bCs/>
      <w:sz w:val="36"/>
      <w:szCs w:val="36"/>
      <w:lang w:eastAsia="ru-RU"/>
    </w:rPr>
  </w:style>
  <w:style w:type="character" w:customStyle="1" w:styleId="sm4">
    <w:name w:val="sm4"/>
    <w:basedOn w:val="a0"/>
    <w:rsid w:val="00057F72"/>
  </w:style>
  <w:style w:type="character" w:customStyle="1" w:styleId="usd3">
    <w:name w:val="usd3"/>
    <w:basedOn w:val="a0"/>
    <w:rsid w:val="00057F72"/>
  </w:style>
  <w:style w:type="character" w:styleId="a7">
    <w:name w:val="Hyperlink"/>
    <w:basedOn w:val="a0"/>
    <w:uiPriority w:val="99"/>
    <w:semiHidden/>
    <w:unhideWhenUsed/>
    <w:rsid w:val="00C56AA0"/>
    <w:rPr>
      <w:color w:val="0053A0"/>
      <w:u w:val="single"/>
    </w:rPr>
  </w:style>
  <w:style w:type="paragraph" w:styleId="a8">
    <w:name w:val="Normal (Web)"/>
    <w:basedOn w:val="a"/>
    <w:uiPriority w:val="99"/>
    <w:unhideWhenUsed/>
    <w:rsid w:val="00153391"/>
    <w:pPr>
      <w:spacing w:before="15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a"/>
    <w:next w:val="a"/>
    <w:uiPriority w:val="99"/>
    <w:rsid w:val="008D1EC0"/>
    <w:pPr>
      <w:autoSpaceDE w:val="0"/>
      <w:autoSpaceDN w:val="0"/>
      <w:adjustRightInd w:val="0"/>
      <w:spacing w:after="0" w:line="161" w:lineRule="atLeast"/>
    </w:pPr>
    <w:rPr>
      <w:rFonts w:ascii="Tahoma" w:hAnsi="Tahoma" w:cs="Tahoma"/>
      <w:sz w:val="24"/>
      <w:szCs w:val="24"/>
      <w:lang w:eastAsia="en-US"/>
    </w:rPr>
  </w:style>
  <w:style w:type="paragraph" w:styleId="a9">
    <w:name w:val="Plain Text"/>
    <w:basedOn w:val="a"/>
    <w:link w:val="aa"/>
    <w:uiPriority w:val="99"/>
    <w:unhideWhenUsed/>
    <w:rsid w:val="005D54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5D54B2"/>
    <w:rPr>
      <w:rFonts w:ascii="Consolas" w:hAnsi="Consolas" w:cs="Times New Roman"/>
      <w:sz w:val="21"/>
      <w:szCs w:val="21"/>
      <w:lang w:eastAsia="ru-RU"/>
    </w:rPr>
  </w:style>
  <w:style w:type="paragraph" w:customStyle="1" w:styleId="Default">
    <w:name w:val="Default"/>
    <w:rsid w:val="003A7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rsid w:val="00210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210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349A"/>
  </w:style>
  <w:style w:type="character" w:customStyle="1" w:styleId="30">
    <w:name w:val="Заголовок 3 Знак"/>
    <w:basedOn w:val="a0"/>
    <w:link w:val="3"/>
    <w:uiPriority w:val="9"/>
    <w:semiHidden/>
    <w:rsid w:val="005F6F9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0">
    <w:name w:val="default"/>
    <w:basedOn w:val="a"/>
    <w:rsid w:val="005200B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73A8"/>
    <w:rPr>
      <w:rFonts w:ascii="Tahoma" w:hAnsi="Tahoma" w:cs="Tahoma"/>
      <w:sz w:val="16"/>
      <w:szCs w:val="16"/>
      <w:lang w:eastAsia="ru-RU"/>
    </w:rPr>
  </w:style>
  <w:style w:type="character" w:customStyle="1" w:styleId="ccbntxt">
    <w:name w:val="ccbntxt"/>
    <w:basedOn w:val="a0"/>
    <w:rsid w:val="007A5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ovoronina</dc:creator>
  <cp:keywords/>
  <dc:description/>
  <cp:lastModifiedBy>ovoronina</cp:lastModifiedBy>
  <cp:revision>2</cp:revision>
  <dcterms:created xsi:type="dcterms:W3CDTF">2011-09-05T08:56:00Z</dcterms:created>
  <dcterms:modified xsi:type="dcterms:W3CDTF">2011-09-05T08:56:00Z</dcterms:modified>
</cp:coreProperties>
</file>