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527" w:rsidRPr="003F6DB9" w:rsidRDefault="00FA7D48" w:rsidP="005F4326">
      <w:pPr>
        <w:pStyle w:val="af0"/>
        <w:jc w:val="both"/>
        <w:rPr>
          <w:sz w:val="32"/>
        </w:rPr>
      </w:pPr>
      <w:r w:rsidRPr="003F6DB9">
        <w:rPr>
          <w:sz w:val="32"/>
        </w:rPr>
        <w:t xml:space="preserve">Обзор товарных контрактов ФОРТС </w:t>
      </w:r>
      <w:r w:rsidR="00CC1991">
        <w:rPr>
          <w:sz w:val="32"/>
        </w:rPr>
        <w:t xml:space="preserve">за неделю </w:t>
      </w:r>
      <w:r w:rsidR="003F2819">
        <w:rPr>
          <w:sz w:val="32"/>
        </w:rPr>
        <w:t>2</w:t>
      </w:r>
      <w:r w:rsidR="00BB7851">
        <w:rPr>
          <w:sz w:val="32"/>
        </w:rPr>
        <w:t>9</w:t>
      </w:r>
      <w:r w:rsidR="00882200">
        <w:rPr>
          <w:sz w:val="32"/>
        </w:rPr>
        <w:t xml:space="preserve"> </w:t>
      </w:r>
      <w:r w:rsidR="00BB7851">
        <w:rPr>
          <w:sz w:val="32"/>
        </w:rPr>
        <w:t xml:space="preserve">июля </w:t>
      </w:r>
      <w:r w:rsidR="00882200">
        <w:rPr>
          <w:sz w:val="32"/>
        </w:rPr>
        <w:t xml:space="preserve">- 2 </w:t>
      </w:r>
      <w:r w:rsidR="00BB7851">
        <w:rPr>
          <w:sz w:val="32"/>
        </w:rPr>
        <w:t>августа</w:t>
      </w:r>
      <w:r w:rsidR="0026005F">
        <w:rPr>
          <w:sz w:val="32"/>
        </w:rPr>
        <w:t xml:space="preserve"> </w:t>
      </w:r>
      <w:r w:rsidR="00A02E15" w:rsidRPr="003F6DB9">
        <w:rPr>
          <w:sz w:val="32"/>
        </w:rPr>
        <w:t>2013 г</w:t>
      </w:r>
      <w:r w:rsidR="0026005F">
        <w:rPr>
          <w:sz w:val="32"/>
        </w:rPr>
        <w:t>ода</w:t>
      </w:r>
      <w:r w:rsidR="00A02E15" w:rsidRPr="003F6DB9">
        <w:rPr>
          <w:sz w:val="32"/>
        </w:rPr>
        <w:t xml:space="preserve"> </w:t>
      </w:r>
      <w:r w:rsidRPr="003F6DB9">
        <w:rPr>
          <w:sz w:val="32"/>
        </w:rPr>
        <w:t>от ИГ "Норд-Капитал"</w:t>
      </w:r>
    </w:p>
    <w:p w:rsidR="00995054" w:rsidRPr="00AA14AB" w:rsidRDefault="00995054" w:rsidP="00995054">
      <w:pPr>
        <w:pStyle w:val="af"/>
        <w:ind w:firstLine="284"/>
        <w:jc w:val="both"/>
      </w:pPr>
      <w:r w:rsidRPr="00AA14AB">
        <w:t>Завершившаяся торговая неделя на срочном рынке ФОРТС прошла под знаком умеренного разнонаправленного изменения стоимости наиболее ликвидных товарных контрактов. Наиболее значимым событием стало состоявшееся повышение августо</w:t>
      </w:r>
      <w:r w:rsidR="00CC4CCA">
        <w:t xml:space="preserve">вских фьючерсов на нефть сорта </w:t>
      </w:r>
      <w:r w:rsidRPr="00AA14AB">
        <w:t>Brent (BRQ3, +1.65%), которые сумели обновить свой четырехмесячный максимум, приблизившись к отметке в $110. Эти контра</w:t>
      </w:r>
      <w:r w:rsidR="00CC4CCA">
        <w:t>кты выступают для р</w:t>
      </w:r>
      <w:r w:rsidRPr="00AA14AB">
        <w:t>оссийских инвесторов и спекулянтов не только ликвидным торговым инструментом, но и важным макроэкономическим индикатором. Лидером достаточно скромного недельного падения стали сентябрьские фьючерсы на золото (GDU3, -1.63%).</w:t>
      </w:r>
      <w:r w:rsidR="008946BB">
        <w:t xml:space="preserve"> </w:t>
      </w:r>
    </w:p>
    <w:p w:rsidR="00995054" w:rsidRPr="00AA14AB" w:rsidRDefault="00995054" w:rsidP="00995054">
      <w:pPr>
        <w:pStyle w:val="af"/>
        <w:ind w:firstLine="284"/>
        <w:jc w:val="both"/>
      </w:pPr>
    </w:p>
    <w:p w:rsidR="00995054" w:rsidRPr="00AA14AB" w:rsidRDefault="00995054" w:rsidP="00995054">
      <w:pPr>
        <w:pStyle w:val="af"/>
        <w:ind w:firstLine="284"/>
        <w:jc w:val="both"/>
      </w:pPr>
      <w:r w:rsidRPr="00AA14AB">
        <w:t>Сентябрьские фьючерсы на золото (GDU3, -1.63%) в последние торговые дни перешли в состояние волатильной консолидации после приостановки среднесрочного восходящего движения, наметившегося с конца июня. Неуверенность участников рынка драгметаллов была связана с ожидаемыми важными событиями. В результате состоявшихся на минувшей неделе заседаний Европейского Центробанка и Федеральной Резервной системы США, процентные ставки ожидаемо остались неизменными. Традиционные комментарии глав этих организаций не задали рынку драгоценных металлов четких сигналов для выбора направления дальнейшего движения.</w:t>
      </w:r>
    </w:p>
    <w:p w:rsidR="00995054" w:rsidRPr="00AA14AB" w:rsidRDefault="00995054" w:rsidP="00995054">
      <w:pPr>
        <w:pStyle w:val="af"/>
        <w:ind w:firstLine="284"/>
        <w:jc w:val="both"/>
      </w:pPr>
      <w:r w:rsidRPr="00AA14AB">
        <w:t xml:space="preserve">Наиболее заметным движением во фьючерсах на золото стала их резкая пятничная просадка в район $1290, которая вскоре сменилась на столь же стремительный отскок к отметке в $1320. Таким образом, за последнюю торговую неделю среднесрочная техническая картина в сентябрьских контрактах на золото несколько ухудшилась. Вероятно, в ближайшие торговые дни они перейдут в состояние консолидации между ближайшими уровнями поддержки и сопротивления, в диапазоне $1286 - $1350. </w:t>
      </w:r>
    </w:p>
    <w:p w:rsidR="00995054" w:rsidRPr="00AA14AB" w:rsidRDefault="00995054" w:rsidP="00995054">
      <w:pPr>
        <w:pStyle w:val="af"/>
        <w:ind w:firstLine="284"/>
        <w:jc w:val="both"/>
      </w:pPr>
      <w:r w:rsidRPr="00AA14AB">
        <w:t xml:space="preserve">Недельный объем торгов сентябрьскими фьючерсами на золото составил 342 тыс. контрактов. Количество открытых позиций за минувшую неделю несколько увеличилось до 156 тыс. контрактов, против 146 тыс. контрактов к завершению предыдущей пятницы. </w:t>
      </w:r>
    </w:p>
    <w:p w:rsidR="00995054" w:rsidRPr="00AA14AB" w:rsidRDefault="00995054" w:rsidP="00995054">
      <w:pPr>
        <w:pStyle w:val="af"/>
        <w:ind w:firstLine="284"/>
        <w:jc w:val="both"/>
      </w:pPr>
      <w:r>
        <w:rPr>
          <w:noProof/>
        </w:rPr>
        <w:drawing>
          <wp:inline distT="0" distB="0" distL="0" distR="0">
            <wp:extent cx="5747658" cy="3356641"/>
            <wp:effectExtent l="0" t="0" r="0" b="0"/>
            <wp:docPr id="12" name="Рисунок 12" descr="GDU3_Зол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DU3_Золото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712" cy="336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054" w:rsidRPr="00AA14AB" w:rsidRDefault="00995054" w:rsidP="00995054">
      <w:pPr>
        <w:pStyle w:val="af"/>
        <w:ind w:firstLine="284"/>
        <w:jc w:val="both"/>
      </w:pPr>
    </w:p>
    <w:p w:rsidR="00995054" w:rsidRPr="00AA14AB" w:rsidRDefault="00995054" w:rsidP="00995054">
      <w:pPr>
        <w:pStyle w:val="af"/>
        <w:ind w:firstLine="284"/>
        <w:jc w:val="both"/>
      </w:pPr>
      <w:r w:rsidRPr="00AA14AB">
        <w:t>Сентябрьские контракты на серебро (SVU3 -0.75%) в целом повторили характер недельного движения фьючерсов на золото, однако сумели закрыться несколько сильнее. Точкой притяжения для этих контрактов в конце минувшей недели вновь стала отметка в $20.</w:t>
      </w:r>
    </w:p>
    <w:p w:rsidR="00995054" w:rsidRPr="00AA14AB" w:rsidRDefault="00995054" w:rsidP="00995054">
      <w:pPr>
        <w:pStyle w:val="af"/>
        <w:ind w:firstLine="284"/>
        <w:jc w:val="both"/>
      </w:pPr>
      <w:r w:rsidRPr="00AA14AB">
        <w:lastRenderedPageBreak/>
        <w:t>Среднесрочная техническая картина во фьючерсах на серебро за последнюю неделю не изменилась. Вероятно, в ближайшие торговые дни они продолжат волатильную консолидацию в границах трехнедельного диапазона $19.30 - $20.66.</w:t>
      </w:r>
    </w:p>
    <w:p w:rsidR="00995054" w:rsidRPr="00AA14AB" w:rsidRDefault="00995054" w:rsidP="00995054">
      <w:pPr>
        <w:pStyle w:val="af"/>
        <w:ind w:firstLine="284"/>
        <w:jc w:val="both"/>
      </w:pPr>
      <w:r w:rsidRPr="00AA14AB">
        <w:t xml:space="preserve">Недельный объем торгов сентябрьскими фьючерсами на серебро составил 45 тыс. контрактов. Количество открытых позиций несколько сократилось до 23.2 тыс. контрактов, против 25 тыс. контрактов неделей ранее. </w:t>
      </w:r>
    </w:p>
    <w:p w:rsidR="00995054" w:rsidRPr="00AA14AB" w:rsidRDefault="00995054" w:rsidP="00995054">
      <w:pPr>
        <w:pStyle w:val="af"/>
        <w:ind w:firstLine="284"/>
        <w:jc w:val="both"/>
      </w:pPr>
      <w:r>
        <w:rPr>
          <w:noProof/>
        </w:rPr>
        <w:drawing>
          <wp:inline distT="0" distB="0" distL="0" distR="0">
            <wp:extent cx="5937885" cy="3467735"/>
            <wp:effectExtent l="0" t="0" r="0" b="0"/>
            <wp:docPr id="11" name="Рисунок 11" descr="SVU3_Сереб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VU3_Серебр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054" w:rsidRPr="00AA14AB" w:rsidRDefault="00995054" w:rsidP="00995054">
      <w:pPr>
        <w:pStyle w:val="af"/>
        <w:ind w:firstLine="284"/>
        <w:jc w:val="both"/>
      </w:pPr>
    </w:p>
    <w:p w:rsidR="00995054" w:rsidRPr="00AA14AB" w:rsidRDefault="00995054" w:rsidP="00995054">
      <w:pPr>
        <w:pStyle w:val="af"/>
        <w:ind w:firstLine="284"/>
        <w:jc w:val="both"/>
      </w:pPr>
      <w:r w:rsidRPr="00AA14AB">
        <w:t xml:space="preserve">Сентябрьские фьючерсы на платину (PTU3, +1.54%) по итогам минувшей недели закрылись заметно сильнее, чем контракты на «менее благородные» драгметаллы. Одной из причин для состоявшегося повышения стала новость из ЮАР о том, что Ассоциация рабочих-горняков и строителей (AMCU) отказалась присоединяться к </w:t>
      </w:r>
      <w:r>
        <w:t xml:space="preserve">новым </w:t>
      </w:r>
      <w:r w:rsidRPr="00AA14AB">
        <w:t>правилам, разработанным правительством,</w:t>
      </w:r>
      <w:r w:rsidR="008946BB">
        <w:t xml:space="preserve"> </w:t>
      </w:r>
      <w:r w:rsidRPr="00AA14AB">
        <w:t>представителями промышленности и профсоюзами. Таким образом, ситуация в горнодобывающей промышленности одного из крупных мировых регионов производства платины остается нестабильной. В течение последнего года деятельность нескольких крупнейших мировых производителей этого металла в ЮАР была существенно осложнена серией забастовок, что вызвало серьёзный спад объемов производства.</w:t>
      </w:r>
    </w:p>
    <w:p w:rsidR="00995054" w:rsidRPr="00AA14AB" w:rsidRDefault="00995054" w:rsidP="00995054">
      <w:pPr>
        <w:pStyle w:val="af"/>
        <w:ind w:firstLine="284"/>
        <w:jc w:val="both"/>
      </w:pPr>
      <w:r w:rsidRPr="00AA14AB">
        <w:t>В связи с низкой ликвидностью часовой график цены контракта на платину отыгрывает не все движения «глобальных» фьючерсов и выглядит хаотично. Так, максимальное недельное значение ($1466.6) было достигнуто при часовом обороте торгов, составившем всего 6 контрактов. По этой же причине, в контрактах на платину зачастую не просматриваются чёткие краткосрочные тренды. Сложившаяся техническая картина говорит в пользу их дальнейшей</w:t>
      </w:r>
      <w:r w:rsidR="008946BB">
        <w:t xml:space="preserve"> </w:t>
      </w:r>
      <w:r w:rsidRPr="00AA14AB">
        <w:t>консолидации в рамках двухнедельного диапазона, ограниченного отметками $1412 - $1467.</w:t>
      </w:r>
    </w:p>
    <w:p w:rsidR="00995054" w:rsidRPr="00AA14AB" w:rsidRDefault="00995054" w:rsidP="00995054">
      <w:pPr>
        <w:pStyle w:val="af"/>
        <w:ind w:firstLine="284"/>
        <w:jc w:val="both"/>
      </w:pPr>
      <w:r w:rsidRPr="00AA14AB">
        <w:t>Недельный объем торгов в сентябрьских фьючерсах на платину составил около 0.4 тыс. контрактов. Количество открытых позиций к завершению пятничных торгов составило 26.4 тыс. контрактов.</w:t>
      </w:r>
    </w:p>
    <w:p w:rsidR="00995054" w:rsidRPr="00AA14AB" w:rsidRDefault="00995054" w:rsidP="00995054">
      <w:pPr>
        <w:pStyle w:val="af"/>
        <w:ind w:firstLine="284"/>
        <w:jc w:val="both"/>
      </w:pPr>
      <w:r>
        <w:rPr>
          <w:noProof/>
        </w:rPr>
        <w:lastRenderedPageBreak/>
        <w:drawing>
          <wp:inline distT="0" distB="0" distL="0" distR="0">
            <wp:extent cx="5937885" cy="3479165"/>
            <wp:effectExtent l="0" t="0" r="0" b="0"/>
            <wp:docPr id="10" name="Рисунок 10" descr="PTU3_Плат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TU3_Плати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054" w:rsidRPr="00AA14AB" w:rsidRDefault="00995054" w:rsidP="00995054">
      <w:pPr>
        <w:pStyle w:val="af"/>
        <w:ind w:firstLine="284"/>
        <w:jc w:val="both"/>
      </w:pPr>
    </w:p>
    <w:p w:rsidR="00995054" w:rsidRPr="00AA14AB" w:rsidRDefault="00995054" w:rsidP="00995054">
      <w:pPr>
        <w:pStyle w:val="af"/>
        <w:ind w:firstLine="284"/>
        <w:jc w:val="both"/>
      </w:pPr>
      <w:r w:rsidRPr="00AA14AB">
        <w:t xml:space="preserve">В течение всего предыдущего года платина торговалась существенно дешевле золота, что в долгосрочном периоде является достаточно редким событием. Платина исторически стоит значительно дороже «желтого металла» в связи с ее сравнительной редкостью и более дорогой технологией производства. В последние месяцы фьючерсы на этот драгметалл торговались несколько сильнее фьючерсов на золото. К завершению пятничных торгов разница цен в сентябрьских контрактах расширилась до $141 за унцию в пользу платины. Таким образом, текущий спрэд составляет около 10.7%. </w:t>
      </w:r>
    </w:p>
    <w:p w:rsidR="00995054" w:rsidRPr="00AA14AB" w:rsidRDefault="00995054" w:rsidP="00995054">
      <w:pPr>
        <w:pStyle w:val="af"/>
        <w:ind w:firstLine="284"/>
        <w:jc w:val="both"/>
      </w:pPr>
      <w:r>
        <w:rPr>
          <w:noProof/>
        </w:rPr>
        <w:drawing>
          <wp:inline distT="0" distB="0" distL="0" distR="0">
            <wp:extent cx="5937885" cy="3455670"/>
            <wp:effectExtent l="0" t="0" r="0" b="0"/>
            <wp:docPr id="9" name="Рисунок 9" descr="Золото_Платина_Соотношение ц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олото_Платина_Соотношение цен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054" w:rsidRPr="00AA14AB" w:rsidRDefault="00995054" w:rsidP="00995054">
      <w:pPr>
        <w:pStyle w:val="af"/>
        <w:ind w:firstLine="284"/>
        <w:jc w:val="both"/>
      </w:pPr>
    </w:p>
    <w:p w:rsidR="00995054" w:rsidRPr="00AA14AB" w:rsidRDefault="00995054" w:rsidP="00995054">
      <w:pPr>
        <w:pStyle w:val="af"/>
        <w:ind w:firstLine="284"/>
        <w:jc w:val="both"/>
      </w:pPr>
      <w:r w:rsidRPr="00AA14AB">
        <w:t>Среди нескольких торгующихся к</w:t>
      </w:r>
      <w:r w:rsidR="00CC4CCA">
        <w:t xml:space="preserve">онтрактов на сырую нефть сорта </w:t>
      </w:r>
      <w:r w:rsidRPr="00AA14AB">
        <w:t xml:space="preserve">Brent наиболее ликвидными стали августовские фьючерсы (BRQ3, +1.65%). В первой половине текущей недели они продолжили коррекционный спад, наметившийся после существенного повышения, состоявшегося с начала июля. Тем не менее, несмотря на выход неблагоприятных еженедельных </w:t>
      </w:r>
      <w:r w:rsidRPr="00AA14AB">
        <w:lastRenderedPageBreak/>
        <w:t>данных о запасах нефти и нефтепродуктов в США, указавших на неожиданный прирост имеющихся объемов сырой нефти, фьючерсы на «черное золото» в минувшую среду резко развернулись вверх.</w:t>
      </w:r>
      <w:r w:rsidR="008946BB">
        <w:t xml:space="preserve"> </w:t>
      </w:r>
    </w:p>
    <w:p w:rsidR="00995054" w:rsidRPr="00AA14AB" w:rsidRDefault="00995054" w:rsidP="00995054">
      <w:pPr>
        <w:pStyle w:val="af"/>
        <w:ind w:firstLine="284"/>
        <w:jc w:val="both"/>
      </w:pPr>
      <w:r w:rsidRPr="00AA14AB">
        <w:t>В пользу сырьевых «быков» сыграл выход сильных статистических данных из США, указавших на неожиданно высокое значение предварительной оценки ВВП за 2 кв. и июльского индекса деловой активности в промышленном секторе. Еще одним поводом для улучшения настроений на нефтяном рынке во второй половине недели стала новость о забастовках в Ливии, в результате которых оказались закрытыми все терминалы отгрузки нефти, что сократило предложение на мировом рынке на 1.1 млн баррелей в сутки.</w:t>
      </w:r>
    </w:p>
    <w:p w:rsidR="00995054" w:rsidRPr="00AA14AB" w:rsidRDefault="00995054" w:rsidP="00995054">
      <w:pPr>
        <w:pStyle w:val="af"/>
        <w:ind w:firstLine="284"/>
        <w:jc w:val="both"/>
      </w:pPr>
      <w:r w:rsidRPr="00AA14AB">
        <w:t xml:space="preserve">Таким образом, </w:t>
      </w:r>
      <w:r>
        <w:t>к исходу минувшей недели</w:t>
      </w:r>
      <w:r w:rsidR="00CC4CCA">
        <w:t xml:space="preserve"> фьючерсы на нефть сорта </w:t>
      </w:r>
      <w:r w:rsidRPr="00AA14AB">
        <w:t>Brent сумели обновить свой четырехмесячный максимум, приблизившись к отметке в $110, что является позитивным техническим сигналом. Вероятно, в ближайшие торговые дни в этих контрактах состоятся новые попытки повышения.</w:t>
      </w:r>
      <w:r w:rsidR="008946BB">
        <w:t xml:space="preserve"> </w:t>
      </w:r>
    </w:p>
    <w:p w:rsidR="00995054" w:rsidRPr="00AA14AB" w:rsidRDefault="00995054" w:rsidP="00995054">
      <w:pPr>
        <w:pStyle w:val="af"/>
        <w:ind w:firstLine="284"/>
        <w:jc w:val="both"/>
      </w:pPr>
      <w:r w:rsidRPr="00AA14AB">
        <w:t>В то же время «дальний», сентябрьский (BRU3) нефтяной контракт торгуется в состоянии бэквордации величиной в $0.87, или 0.8% по отношению к «ближнему». Участники срочного рынка ожидают незначительного</w:t>
      </w:r>
      <w:r w:rsidR="00CC4CCA">
        <w:t xml:space="preserve"> понижения цены на нефть сорта </w:t>
      </w:r>
      <w:bookmarkStart w:id="0" w:name="_GoBack"/>
      <w:r w:rsidR="00CC4CCA">
        <w:t>Bre</w:t>
      </w:r>
      <w:bookmarkEnd w:id="0"/>
      <w:r w:rsidR="00CC4CCA">
        <w:t>nt</w:t>
      </w:r>
      <w:r w:rsidRPr="00AA14AB">
        <w:t xml:space="preserve"> в ближайший месяц. </w:t>
      </w:r>
    </w:p>
    <w:p w:rsidR="00995054" w:rsidRPr="00AA14AB" w:rsidRDefault="00995054" w:rsidP="00995054">
      <w:pPr>
        <w:pStyle w:val="af"/>
        <w:ind w:firstLine="284"/>
        <w:jc w:val="both"/>
      </w:pPr>
      <w:r w:rsidRPr="00AA14AB">
        <w:t>Недельный объем торгов в августов</w:t>
      </w:r>
      <w:r w:rsidR="00CC4CCA">
        <w:t xml:space="preserve">ских контрактах на нефть сорта </w:t>
      </w:r>
      <w:r w:rsidRPr="00AA14AB">
        <w:t xml:space="preserve">Brent составил 282 тыс. контрактов. К завершению пятничных торгов количество открытых позиций заметно увеличилось до 86 тыс. контрактов, против 64 тыс. контрактов неделей ранее. </w:t>
      </w:r>
    </w:p>
    <w:p w:rsidR="00995054" w:rsidRPr="00AA14AB" w:rsidRDefault="00995054" w:rsidP="00995054">
      <w:pPr>
        <w:pStyle w:val="af"/>
        <w:ind w:firstLine="284"/>
        <w:jc w:val="both"/>
      </w:pPr>
      <w:r>
        <w:rPr>
          <w:noProof/>
        </w:rPr>
        <w:drawing>
          <wp:inline distT="0" distB="0" distL="0" distR="0">
            <wp:extent cx="5937885" cy="3479165"/>
            <wp:effectExtent l="0" t="0" r="0" b="0"/>
            <wp:docPr id="8" name="Рисунок 8" descr="BRQ3_Неф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Q3_Нефть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054" w:rsidRPr="00AA14AB" w:rsidRDefault="00995054" w:rsidP="00995054">
      <w:pPr>
        <w:pStyle w:val="af"/>
        <w:ind w:firstLine="284"/>
        <w:jc w:val="both"/>
      </w:pPr>
    </w:p>
    <w:p w:rsidR="00995054" w:rsidRPr="00AA14AB" w:rsidRDefault="00995054" w:rsidP="00995054">
      <w:pPr>
        <w:pStyle w:val="af"/>
        <w:ind w:firstLine="284"/>
        <w:jc w:val="both"/>
      </w:pPr>
      <w:r w:rsidRPr="00AA14AB">
        <w:t xml:space="preserve">Единственным ликвидным сельскохозяйственным контрактом на </w:t>
      </w:r>
      <w:r w:rsidR="00CC4CCA">
        <w:t>р</w:t>
      </w:r>
      <w:r w:rsidRPr="00AA14AB">
        <w:t>оссийском срочном рынке является октябрьский фьючерс на сахар (SAV3, +1.97%). При достаточно большом количестве открытых позиций (9.6 тыс.), недельный объем торгов составил около 5.7 тыс. контрактов.</w:t>
      </w:r>
    </w:p>
    <w:p w:rsidR="00995054" w:rsidRPr="00AA14AB" w:rsidRDefault="00995054" w:rsidP="00995054">
      <w:pPr>
        <w:pStyle w:val="af"/>
        <w:ind w:firstLine="284"/>
        <w:jc w:val="both"/>
      </w:pPr>
      <w:r w:rsidRPr="00AA14AB">
        <w:t>На минувшей неделе эти фьючерсы совершили очередную попытку восстановления от своего недавнего локального минимума (11.87 руб.). После достаточно робких попыток подъема, наметившихся</w:t>
      </w:r>
      <w:r w:rsidR="008946BB">
        <w:t xml:space="preserve"> </w:t>
      </w:r>
      <w:r w:rsidRPr="00AA14AB">
        <w:t>с середины июля, мы смогли наблюдать уверенное повышение в район 12.57 руб. К завершению пятничных торгов контракты на сахар откатились от локального максимума, но закрылись с заметным недельным приростом.</w:t>
      </w:r>
    </w:p>
    <w:p w:rsidR="00995054" w:rsidRPr="00AA14AB" w:rsidRDefault="00995054" w:rsidP="00995054">
      <w:pPr>
        <w:pStyle w:val="af"/>
        <w:ind w:firstLine="284"/>
        <w:jc w:val="both"/>
      </w:pPr>
      <w:r w:rsidRPr="00AA14AB">
        <w:t>Вероятно, в ближайшие торговые дни состоятся новые попытки преодоления отметки 12.60 руб. Следующими целями и сопротивлениями могут выступить «круглые» отметки 12.80 руб., 13.00 руб.</w:t>
      </w:r>
      <w:r w:rsidR="008946BB">
        <w:t xml:space="preserve"> </w:t>
      </w:r>
    </w:p>
    <w:p w:rsidR="00995054" w:rsidRPr="00AA14AB" w:rsidRDefault="00995054" w:rsidP="00995054">
      <w:pPr>
        <w:pStyle w:val="af"/>
        <w:ind w:firstLine="284"/>
        <w:jc w:val="both"/>
      </w:pPr>
      <w:r w:rsidRPr="00AA14AB">
        <w:t xml:space="preserve">Добавим, что в среднесрочной перспективе цены на сахар находятся под давлением в связи с ожиданиями </w:t>
      </w:r>
      <w:r w:rsidRPr="00AA14AB">
        <w:rPr>
          <w:szCs w:val="20"/>
        </w:rPr>
        <w:t xml:space="preserve">перепроизводства этого продукта на мировом рынке в текущем </w:t>
      </w:r>
      <w:r w:rsidRPr="00AA14AB">
        <w:rPr>
          <w:szCs w:val="20"/>
        </w:rPr>
        <w:lastRenderedPageBreak/>
        <w:t>сельскохозяйственном году. По некоторым оценкам, производство сахара в России в 2013 г. может достигнуть рекордных объемов.</w:t>
      </w:r>
    </w:p>
    <w:p w:rsidR="00995054" w:rsidRPr="00AA14AB" w:rsidRDefault="00995054" w:rsidP="00995054">
      <w:pPr>
        <w:pStyle w:val="af"/>
        <w:ind w:firstLine="284"/>
        <w:jc w:val="both"/>
      </w:pPr>
      <w:r>
        <w:rPr>
          <w:noProof/>
        </w:rPr>
        <w:drawing>
          <wp:inline distT="0" distB="0" distL="0" distR="0">
            <wp:extent cx="5937885" cy="3467735"/>
            <wp:effectExtent l="0" t="0" r="0" b="0"/>
            <wp:docPr id="7" name="Рисунок 7" descr="SAV3_Сах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V3_Сахар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5054" w:rsidRPr="00AA14AB" w:rsidSect="005923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D06" w:rsidRDefault="00E26D06" w:rsidP="00726CBF">
      <w:pPr>
        <w:spacing w:after="0" w:line="240" w:lineRule="auto"/>
      </w:pPr>
      <w:r>
        <w:separator/>
      </w:r>
    </w:p>
  </w:endnote>
  <w:endnote w:type="continuationSeparator" w:id="0">
    <w:p w:rsidR="00E26D06" w:rsidRDefault="00E26D06" w:rsidP="00726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D06" w:rsidRDefault="00E26D06" w:rsidP="00726CBF">
      <w:pPr>
        <w:spacing w:after="0" w:line="240" w:lineRule="auto"/>
      </w:pPr>
      <w:r>
        <w:separator/>
      </w:r>
    </w:p>
  </w:footnote>
  <w:footnote w:type="continuationSeparator" w:id="0">
    <w:p w:rsidR="00E26D06" w:rsidRDefault="00E26D06" w:rsidP="00726C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6F206D"/>
    <w:multiLevelType w:val="hybridMultilevel"/>
    <w:tmpl w:val="B71AF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AD49F9"/>
    <w:multiLevelType w:val="hybridMultilevel"/>
    <w:tmpl w:val="14789730"/>
    <w:lvl w:ilvl="0" w:tplc="04190001">
      <w:start w:val="1"/>
      <w:numFmt w:val="bullet"/>
      <w:lvlText w:val=""/>
      <w:lvlJc w:val="left"/>
      <w:pPr>
        <w:ind w:left="6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5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E3F66"/>
    <w:rsid w:val="00005269"/>
    <w:rsid w:val="00007B29"/>
    <w:rsid w:val="0002377C"/>
    <w:rsid w:val="00025070"/>
    <w:rsid w:val="000273F3"/>
    <w:rsid w:val="00036F26"/>
    <w:rsid w:val="000415B5"/>
    <w:rsid w:val="0005746D"/>
    <w:rsid w:val="00057508"/>
    <w:rsid w:val="00061FB1"/>
    <w:rsid w:val="00063881"/>
    <w:rsid w:val="00064F7D"/>
    <w:rsid w:val="0006734A"/>
    <w:rsid w:val="000746B6"/>
    <w:rsid w:val="00074CF3"/>
    <w:rsid w:val="00080C61"/>
    <w:rsid w:val="00081722"/>
    <w:rsid w:val="00085D24"/>
    <w:rsid w:val="000A295C"/>
    <w:rsid w:val="000A5DB9"/>
    <w:rsid w:val="000B640C"/>
    <w:rsid w:val="000C190F"/>
    <w:rsid w:val="000C3D34"/>
    <w:rsid w:val="000C437F"/>
    <w:rsid w:val="000C6FA8"/>
    <w:rsid w:val="000D377F"/>
    <w:rsid w:val="000E3DE8"/>
    <w:rsid w:val="00102DB6"/>
    <w:rsid w:val="00104787"/>
    <w:rsid w:val="00112C23"/>
    <w:rsid w:val="00113C9B"/>
    <w:rsid w:val="001241A5"/>
    <w:rsid w:val="0012760C"/>
    <w:rsid w:val="00127ADB"/>
    <w:rsid w:val="001419BD"/>
    <w:rsid w:val="001419D8"/>
    <w:rsid w:val="001461E1"/>
    <w:rsid w:val="001465FE"/>
    <w:rsid w:val="0015120A"/>
    <w:rsid w:val="00151727"/>
    <w:rsid w:val="001552B3"/>
    <w:rsid w:val="00164268"/>
    <w:rsid w:val="001659AC"/>
    <w:rsid w:val="001A62E4"/>
    <w:rsid w:val="001B32B6"/>
    <w:rsid w:val="001B6188"/>
    <w:rsid w:val="001D0325"/>
    <w:rsid w:val="001D1E58"/>
    <w:rsid w:val="001E07F6"/>
    <w:rsid w:val="001F05DD"/>
    <w:rsid w:val="001F0D60"/>
    <w:rsid w:val="001F2815"/>
    <w:rsid w:val="001F5ADC"/>
    <w:rsid w:val="00205DDE"/>
    <w:rsid w:val="002173EF"/>
    <w:rsid w:val="00220C2F"/>
    <w:rsid w:val="002244F4"/>
    <w:rsid w:val="00236290"/>
    <w:rsid w:val="002435A7"/>
    <w:rsid w:val="00244412"/>
    <w:rsid w:val="0025522B"/>
    <w:rsid w:val="0026005F"/>
    <w:rsid w:val="002616AA"/>
    <w:rsid w:val="00265F70"/>
    <w:rsid w:val="00270EAA"/>
    <w:rsid w:val="002757C6"/>
    <w:rsid w:val="00275BA8"/>
    <w:rsid w:val="00292F3D"/>
    <w:rsid w:val="00292F8E"/>
    <w:rsid w:val="00294A58"/>
    <w:rsid w:val="002962AA"/>
    <w:rsid w:val="002A61CB"/>
    <w:rsid w:val="002A7EF5"/>
    <w:rsid w:val="002B1FB8"/>
    <w:rsid w:val="002E33F2"/>
    <w:rsid w:val="002E5C32"/>
    <w:rsid w:val="002F28EB"/>
    <w:rsid w:val="003002BE"/>
    <w:rsid w:val="00300BAF"/>
    <w:rsid w:val="00304181"/>
    <w:rsid w:val="00305648"/>
    <w:rsid w:val="0030757B"/>
    <w:rsid w:val="00316DF5"/>
    <w:rsid w:val="00320889"/>
    <w:rsid w:val="00324D8C"/>
    <w:rsid w:val="00330C3D"/>
    <w:rsid w:val="003313E8"/>
    <w:rsid w:val="00331E93"/>
    <w:rsid w:val="00334B02"/>
    <w:rsid w:val="00347537"/>
    <w:rsid w:val="00347B77"/>
    <w:rsid w:val="003520C4"/>
    <w:rsid w:val="00362FC6"/>
    <w:rsid w:val="003732C3"/>
    <w:rsid w:val="00383B7C"/>
    <w:rsid w:val="003A0512"/>
    <w:rsid w:val="003A6746"/>
    <w:rsid w:val="003B103E"/>
    <w:rsid w:val="003D4701"/>
    <w:rsid w:val="003E2C62"/>
    <w:rsid w:val="003F2819"/>
    <w:rsid w:val="003F476A"/>
    <w:rsid w:val="003F6DB9"/>
    <w:rsid w:val="003F7AFF"/>
    <w:rsid w:val="004068E8"/>
    <w:rsid w:val="004178A0"/>
    <w:rsid w:val="0042320C"/>
    <w:rsid w:val="00427657"/>
    <w:rsid w:val="00456185"/>
    <w:rsid w:val="00461329"/>
    <w:rsid w:val="00461B08"/>
    <w:rsid w:val="00470F99"/>
    <w:rsid w:val="00480D23"/>
    <w:rsid w:val="004838CC"/>
    <w:rsid w:val="0048514B"/>
    <w:rsid w:val="0049718C"/>
    <w:rsid w:val="004B293E"/>
    <w:rsid w:val="004C5E30"/>
    <w:rsid w:val="004C79D5"/>
    <w:rsid w:val="004C7E8F"/>
    <w:rsid w:val="004E641F"/>
    <w:rsid w:val="00503B0A"/>
    <w:rsid w:val="00505DF5"/>
    <w:rsid w:val="005168EE"/>
    <w:rsid w:val="00523B23"/>
    <w:rsid w:val="00530125"/>
    <w:rsid w:val="00540799"/>
    <w:rsid w:val="00540D52"/>
    <w:rsid w:val="00545A49"/>
    <w:rsid w:val="00550A0C"/>
    <w:rsid w:val="005510DA"/>
    <w:rsid w:val="0055194C"/>
    <w:rsid w:val="00572B89"/>
    <w:rsid w:val="0057456A"/>
    <w:rsid w:val="0058162B"/>
    <w:rsid w:val="0058531C"/>
    <w:rsid w:val="005871C9"/>
    <w:rsid w:val="0059234E"/>
    <w:rsid w:val="00593385"/>
    <w:rsid w:val="0059374E"/>
    <w:rsid w:val="00595A46"/>
    <w:rsid w:val="00597605"/>
    <w:rsid w:val="005A0831"/>
    <w:rsid w:val="005A2BFE"/>
    <w:rsid w:val="005B68EB"/>
    <w:rsid w:val="005C66F9"/>
    <w:rsid w:val="005D097B"/>
    <w:rsid w:val="005D7D5F"/>
    <w:rsid w:val="005F24AE"/>
    <w:rsid w:val="005F4326"/>
    <w:rsid w:val="00605740"/>
    <w:rsid w:val="006057DB"/>
    <w:rsid w:val="00611696"/>
    <w:rsid w:val="0061492D"/>
    <w:rsid w:val="00620530"/>
    <w:rsid w:val="006218CC"/>
    <w:rsid w:val="006265B2"/>
    <w:rsid w:val="006311AE"/>
    <w:rsid w:val="00633FAE"/>
    <w:rsid w:val="00636310"/>
    <w:rsid w:val="00646C45"/>
    <w:rsid w:val="00651E7A"/>
    <w:rsid w:val="006536A5"/>
    <w:rsid w:val="006616E6"/>
    <w:rsid w:val="00661A0D"/>
    <w:rsid w:val="00664298"/>
    <w:rsid w:val="00664F77"/>
    <w:rsid w:val="006674EE"/>
    <w:rsid w:val="00674312"/>
    <w:rsid w:val="00682EFF"/>
    <w:rsid w:val="00693266"/>
    <w:rsid w:val="006945F4"/>
    <w:rsid w:val="006A1F5A"/>
    <w:rsid w:val="006A5C5C"/>
    <w:rsid w:val="006A6947"/>
    <w:rsid w:val="006B3AFA"/>
    <w:rsid w:val="006B6DBB"/>
    <w:rsid w:val="006C4493"/>
    <w:rsid w:val="006D071D"/>
    <w:rsid w:val="006D2E1B"/>
    <w:rsid w:val="006D386D"/>
    <w:rsid w:val="006E1569"/>
    <w:rsid w:val="006E4F82"/>
    <w:rsid w:val="006F2AFD"/>
    <w:rsid w:val="006F42E2"/>
    <w:rsid w:val="006F7D05"/>
    <w:rsid w:val="00700936"/>
    <w:rsid w:val="0072517D"/>
    <w:rsid w:val="00726CBF"/>
    <w:rsid w:val="00731B6B"/>
    <w:rsid w:val="007375C0"/>
    <w:rsid w:val="007428D6"/>
    <w:rsid w:val="007605BD"/>
    <w:rsid w:val="00760B0D"/>
    <w:rsid w:val="00760CE0"/>
    <w:rsid w:val="007641F4"/>
    <w:rsid w:val="00767E57"/>
    <w:rsid w:val="0077024C"/>
    <w:rsid w:val="00785420"/>
    <w:rsid w:val="00787865"/>
    <w:rsid w:val="00795C3E"/>
    <w:rsid w:val="00797FCB"/>
    <w:rsid w:val="007B13F5"/>
    <w:rsid w:val="007B3AC7"/>
    <w:rsid w:val="007D175E"/>
    <w:rsid w:val="007D33DE"/>
    <w:rsid w:val="007F3FC0"/>
    <w:rsid w:val="007F5522"/>
    <w:rsid w:val="008024BB"/>
    <w:rsid w:val="00806EF9"/>
    <w:rsid w:val="00812D5E"/>
    <w:rsid w:val="008173BD"/>
    <w:rsid w:val="008219BD"/>
    <w:rsid w:val="008221D5"/>
    <w:rsid w:val="00831C28"/>
    <w:rsid w:val="00845EF8"/>
    <w:rsid w:val="0084765E"/>
    <w:rsid w:val="00865622"/>
    <w:rsid w:val="008760D4"/>
    <w:rsid w:val="00882200"/>
    <w:rsid w:val="00882BD4"/>
    <w:rsid w:val="00892205"/>
    <w:rsid w:val="00894523"/>
    <w:rsid w:val="008946BB"/>
    <w:rsid w:val="00894C48"/>
    <w:rsid w:val="00897FD6"/>
    <w:rsid w:val="008A1317"/>
    <w:rsid w:val="008A71FD"/>
    <w:rsid w:val="008B65D2"/>
    <w:rsid w:val="008C09D7"/>
    <w:rsid w:val="008C7327"/>
    <w:rsid w:val="008D1924"/>
    <w:rsid w:val="008F6461"/>
    <w:rsid w:val="008F67E0"/>
    <w:rsid w:val="009138C5"/>
    <w:rsid w:val="00917028"/>
    <w:rsid w:val="00921E6F"/>
    <w:rsid w:val="009229A5"/>
    <w:rsid w:val="009233B2"/>
    <w:rsid w:val="00923CE2"/>
    <w:rsid w:val="009308DD"/>
    <w:rsid w:val="0093430A"/>
    <w:rsid w:val="00936A7F"/>
    <w:rsid w:val="00943C26"/>
    <w:rsid w:val="0095113E"/>
    <w:rsid w:val="009531FD"/>
    <w:rsid w:val="00962175"/>
    <w:rsid w:val="00964A7A"/>
    <w:rsid w:val="009764BD"/>
    <w:rsid w:val="00995054"/>
    <w:rsid w:val="009A2B78"/>
    <w:rsid w:val="009A2F20"/>
    <w:rsid w:val="009A69A3"/>
    <w:rsid w:val="009C37FC"/>
    <w:rsid w:val="009D4FD5"/>
    <w:rsid w:val="009D7DE8"/>
    <w:rsid w:val="009E0104"/>
    <w:rsid w:val="009F3A8D"/>
    <w:rsid w:val="009F7443"/>
    <w:rsid w:val="00A02760"/>
    <w:rsid w:val="00A02E15"/>
    <w:rsid w:val="00A057AC"/>
    <w:rsid w:val="00A119AB"/>
    <w:rsid w:val="00A15FFF"/>
    <w:rsid w:val="00A24F4F"/>
    <w:rsid w:val="00A30D7E"/>
    <w:rsid w:val="00A333D5"/>
    <w:rsid w:val="00A375BF"/>
    <w:rsid w:val="00A408B8"/>
    <w:rsid w:val="00A45671"/>
    <w:rsid w:val="00A46946"/>
    <w:rsid w:val="00A46FBE"/>
    <w:rsid w:val="00A65013"/>
    <w:rsid w:val="00A77E77"/>
    <w:rsid w:val="00AA441B"/>
    <w:rsid w:val="00AA640A"/>
    <w:rsid w:val="00AB25C3"/>
    <w:rsid w:val="00AB41CF"/>
    <w:rsid w:val="00AB5E17"/>
    <w:rsid w:val="00AC17B7"/>
    <w:rsid w:val="00AC1B09"/>
    <w:rsid w:val="00AC4256"/>
    <w:rsid w:val="00AD5205"/>
    <w:rsid w:val="00AD53CC"/>
    <w:rsid w:val="00AD6AA0"/>
    <w:rsid w:val="00AE08FA"/>
    <w:rsid w:val="00AE31EE"/>
    <w:rsid w:val="00AE45C0"/>
    <w:rsid w:val="00AE5C16"/>
    <w:rsid w:val="00AF3CD7"/>
    <w:rsid w:val="00AF55CD"/>
    <w:rsid w:val="00B00023"/>
    <w:rsid w:val="00B0017A"/>
    <w:rsid w:val="00B01007"/>
    <w:rsid w:val="00B0285C"/>
    <w:rsid w:val="00B120DF"/>
    <w:rsid w:val="00B15606"/>
    <w:rsid w:val="00B17698"/>
    <w:rsid w:val="00B45D92"/>
    <w:rsid w:val="00B532DB"/>
    <w:rsid w:val="00B53C2F"/>
    <w:rsid w:val="00B57A0A"/>
    <w:rsid w:val="00B62CAD"/>
    <w:rsid w:val="00B62FC8"/>
    <w:rsid w:val="00B67570"/>
    <w:rsid w:val="00B74385"/>
    <w:rsid w:val="00B76732"/>
    <w:rsid w:val="00B8165E"/>
    <w:rsid w:val="00B848D2"/>
    <w:rsid w:val="00B97B62"/>
    <w:rsid w:val="00BB6F1E"/>
    <w:rsid w:val="00BB759B"/>
    <w:rsid w:val="00BB7851"/>
    <w:rsid w:val="00BC713C"/>
    <w:rsid w:val="00BE23EC"/>
    <w:rsid w:val="00BE2A0D"/>
    <w:rsid w:val="00BE5755"/>
    <w:rsid w:val="00BE5988"/>
    <w:rsid w:val="00BF1249"/>
    <w:rsid w:val="00BF1A70"/>
    <w:rsid w:val="00BF1BAD"/>
    <w:rsid w:val="00C02061"/>
    <w:rsid w:val="00C15D4D"/>
    <w:rsid w:val="00C15E85"/>
    <w:rsid w:val="00C329E9"/>
    <w:rsid w:val="00C3531C"/>
    <w:rsid w:val="00C47681"/>
    <w:rsid w:val="00C5415E"/>
    <w:rsid w:val="00C5752B"/>
    <w:rsid w:val="00C653F8"/>
    <w:rsid w:val="00C670AB"/>
    <w:rsid w:val="00C700FE"/>
    <w:rsid w:val="00C768E6"/>
    <w:rsid w:val="00C77D9D"/>
    <w:rsid w:val="00C97A56"/>
    <w:rsid w:val="00CB15E7"/>
    <w:rsid w:val="00CC1991"/>
    <w:rsid w:val="00CC4CCA"/>
    <w:rsid w:val="00CD007F"/>
    <w:rsid w:val="00CD0D76"/>
    <w:rsid w:val="00CD1686"/>
    <w:rsid w:val="00CD6B8A"/>
    <w:rsid w:val="00CD6E43"/>
    <w:rsid w:val="00CD7C82"/>
    <w:rsid w:val="00CE3F66"/>
    <w:rsid w:val="00D0565E"/>
    <w:rsid w:val="00D0681A"/>
    <w:rsid w:val="00D105C5"/>
    <w:rsid w:val="00D13648"/>
    <w:rsid w:val="00D13884"/>
    <w:rsid w:val="00D15567"/>
    <w:rsid w:val="00D23A95"/>
    <w:rsid w:val="00D26CC9"/>
    <w:rsid w:val="00D31B17"/>
    <w:rsid w:val="00D362E5"/>
    <w:rsid w:val="00D3726C"/>
    <w:rsid w:val="00D43DFB"/>
    <w:rsid w:val="00D51DE1"/>
    <w:rsid w:val="00D55FDF"/>
    <w:rsid w:val="00D5693D"/>
    <w:rsid w:val="00D80956"/>
    <w:rsid w:val="00D857E7"/>
    <w:rsid w:val="00D86342"/>
    <w:rsid w:val="00D90341"/>
    <w:rsid w:val="00D94E3E"/>
    <w:rsid w:val="00D95457"/>
    <w:rsid w:val="00DA58A8"/>
    <w:rsid w:val="00DA6304"/>
    <w:rsid w:val="00DB063D"/>
    <w:rsid w:val="00DB4118"/>
    <w:rsid w:val="00DB762C"/>
    <w:rsid w:val="00DC1778"/>
    <w:rsid w:val="00DC6BD9"/>
    <w:rsid w:val="00DC7938"/>
    <w:rsid w:val="00DD148F"/>
    <w:rsid w:val="00DE5D71"/>
    <w:rsid w:val="00DF3C6B"/>
    <w:rsid w:val="00DF544C"/>
    <w:rsid w:val="00E03A5B"/>
    <w:rsid w:val="00E14EA7"/>
    <w:rsid w:val="00E15527"/>
    <w:rsid w:val="00E255EB"/>
    <w:rsid w:val="00E26D06"/>
    <w:rsid w:val="00E3017D"/>
    <w:rsid w:val="00E34C98"/>
    <w:rsid w:val="00E555D3"/>
    <w:rsid w:val="00E616C1"/>
    <w:rsid w:val="00E61CC5"/>
    <w:rsid w:val="00E653E3"/>
    <w:rsid w:val="00E70E1F"/>
    <w:rsid w:val="00E71464"/>
    <w:rsid w:val="00E74CA4"/>
    <w:rsid w:val="00E80062"/>
    <w:rsid w:val="00E816DD"/>
    <w:rsid w:val="00E86354"/>
    <w:rsid w:val="00E866F7"/>
    <w:rsid w:val="00E87A21"/>
    <w:rsid w:val="00EA274A"/>
    <w:rsid w:val="00EA2AD3"/>
    <w:rsid w:val="00EA41CD"/>
    <w:rsid w:val="00EA51B1"/>
    <w:rsid w:val="00EB3943"/>
    <w:rsid w:val="00EC7730"/>
    <w:rsid w:val="00ED5B53"/>
    <w:rsid w:val="00ED78E0"/>
    <w:rsid w:val="00EE5F74"/>
    <w:rsid w:val="00F074B2"/>
    <w:rsid w:val="00F173AD"/>
    <w:rsid w:val="00F2207A"/>
    <w:rsid w:val="00F42B62"/>
    <w:rsid w:val="00F52BFE"/>
    <w:rsid w:val="00F53E12"/>
    <w:rsid w:val="00F54615"/>
    <w:rsid w:val="00F723F1"/>
    <w:rsid w:val="00F75131"/>
    <w:rsid w:val="00F761B2"/>
    <w:rsid w:val="00F86746"/>
    <w:rsid w:val="00F95692"/>
    <w:rsid w:val="00FA7266"/>
    <w:rsid w:val="00FA7D48"/>
    <w:rsid w:val="00FC29EE"/>
    <w:rsid w:val="00FC2A4B"/>
    <w:rsid w:val="00FC4545"/>
    <w:rsid w:val="00FD5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AFF"/>
  </w:style>
  <w:style w:type="paragraph" w:styleId="1">
    <w:name w:val="heading 1"/>
    <w:basedOn w:val="a"/>
    <w:next w:val="a"/>
    <w:link w:val="10"/>
    <w:uiPriority w:val="9"/>
    <w:qFormat/>
    <w:rsid w:val="00806E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945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641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unhideWhenUsed/>
    <w:rsid w:val="002E33F2"/>
    <w:pPr>
      <w:spacing w:after="0" w:line="240" w:lineRule="auto"/>
    </w:pPr>
    <w:rPr>
      <w:rFonts w:ascii="Consolas" w:hAnsi="Consolas" w:cs="Times New Roman"/>
      <w:sz w:val="21"/>
      <w:szCs w:val="21"/>
    </w:rPr>
  </w:style>
  <w:style w:type="character" w:customStyle="1" w:styleId="a4">
    <w:name w:val="Текст Знак"/>
    <w:basedOn w:val="a0"/>
    <w:link w:val="a3"/>
    <w:uiPriority w:val="99"/>
    <w:semiHidden/>
    <w:rsid w:val="002E33F2"/>
    <w:rPr>
      <w:rFonts w:ascii="Consolas" w:hAnsi="Consolas" w:cs="Times New Roman"/>
      <w:sz w:val="21"/>
      <w:szCs w:val="21"/>
      <w:lang w:eastAsia="ru-RU"/>
    </w:rPr>
  </w:style>
  <w:style w:type="character" w:styleId="a5">
    <w:name w:val="Hyperlink"/>
    <w:basedOn w:val="a0"/>
    <w:uiPriority w:val="99"/>
    <w:unhideWhenUsed/>
    <w:rsid w:val="002E33F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8945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641F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rmal (Web)"/>
    <w:basedOn w:val="a"/>
    <w:uiPriority w:val="99"/>
    <w:unhideWhenUsed/>
    <w:rsid w:val="006E1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6E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806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6EF9"/>
    <w:rPr>
      <w:rFonts w:ascii="Tahoma" w:hAnsi="Tahoma" w:cs="Tahoma"/>
      <w:sz w:val="16"/>
      <w:szCs w:val="16"/>
    </w:rPr>
  </w:style>
  <w:style w:type="character" w:customStyle="1" w:styleId="squot">
    <w:name w:val="squot"/>
    <w:basedOn w:val="a0"/>
    <w:rsid w:val="00113C9B"/>
  </w:style>
  <w:style w:type="character" w:customStyle="1" w:styleId="apple-style-span">
    <w:name w:val="apple-style-span"/>
    <w:basedOn w:val="a0"/>
    <w:rsid w:val="00530125"/>
  </w:style>
  <w:style w:type="character" w:customStyle="1" w:styleId="apple-converted-space">
    <w:name w:val="apple-converted-space"/>
    <w:basedOn w:val="a0"/>
    <w:rsid w:val="007B13F5"/>
  </w:style>
  <w:style w:type="paragraph" w:styleId="a9">
    <w:name w:val="caption"/>
    <w:basedOn w:val="a"/>
    <w:next w:val="a"/>
    <w:uiPriority w:val="35"/>
    <w:unhideWhenUsed/>
    <w:qFormat/>
    <w:rsid w:val="00D90341"/>
    <w:pPr>
      <w:spacing w:line="240" w:lineRule="auto"/>
    </w:pPr>
    <w:rPr>
      <w:rFonts w:ascii="Calibri" w:eastAsia="Calibri" w:hAnsi="Calibri" w:cs="Times New Roman"/>
      <w:b/>
      <w:bCs/>
      <w:color w:val="4F81BD"/>
      <w:sz w:val="18"/>
      <w:szCs w:val="18"/>
    </w:rPr>
  </w:style>
  <w:style w:type="paragraph" w:styleId="aa">
    <w:name w:val="List Paragraph"/>
    <w:basedOn w:val="a"/>
    <w:uiPriority w:val="34"/>
    <w:qFormat/>
    <w:rsid w:val="00A375BF"/>
    <w:pPr>
      <w:ind w:left="720"/>
      <w:contextualSpacing/>
    </w:pPr>
    <w:rPr>
      <w:rFonts w:ascii="Calibri" w:eastAsia="Calibri" w:hAnsi="Calibri" w:cs="Times New Roman"/>
    </w:rPr>
  </w:style>
  <w:style w:type="paragraph" w:styleId="ab">
    <w:name w:val="header"/>
    <w:basedOn w:val="a"/>
    <w:link w:val="ac"/>
    <w:uiPriority w:val="99"/>
    <w:semiHidden/>
    <w:unhideWhenUsed/>
    <w:rsid w:val="00726C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726CBF"/>
  </w:style>
  <w:style w:type="paragraph" w:styleId="ad">
    <w:name w:val="footer"/>
    <w:basedOn w:val="a"/>
    <w:link w:val="ae"/>
    <w:uiPriority w:val="99"/>
    <w:semiHidden/>
    <w:unhideWhenUsed/>
    <w:rsid w:val="00726C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726CBF"/>
  </w:style>
  <w:style w:type="paragraph" w:styleId="af">
    <w:name w:val="No Spacing"/>
    <w:uiPriority w:val="1"/>
    <w:qFormat/>
    <w:rsid w:val="00E15527"/>
    <w:pPr>
      <w:spacing w:after="0" w:line="240" w:lineRule="auto"/>
    </w:pPr>
    <w:rPr>
      <w:rFonts w:ascii="Calibri" w:eastAsia="Calibri" w:hAnsi="Calibri" w:cs="Times New Roman"/>
    </w:rPr>
  </w:style>
  <w:style w:type="paragraph" w:styleId="af0">
    <w:name w:val="Title"/>
    <w:basedOn w:val="a"/>
    <w:next w:val="a"/>
    <w:link w:val="af1"/>
    <w:uiPriority w:val="10"/>
    <w:qFormat/>
    <w:rsid w:val="00BF1A7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BF1A7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06E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945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641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unhideWhenUsed/>
    <w:rsid w:val="002E33F2"/>
    <w:pPr>
      <w:spacing w:after="0" w:line="240" w:lineRule="auto"/>
    </w:pPr>
    <w:rPr>
      <w:rFonts w:ascii="Consolas" w:hAnsi="Consolas" w:cs="Times New Roman"/>
      <w:sz w:val="21"/>
      <w:szCs w:val="21"/>
    </w:rPr>
  </w:style>
  <w:style w:type="character" w:customStyle="1" w:styleId="a4">
    <w:name w:val="Текст Знак"/>
    <w:basedOn w:val="a0"/>
    <w:link w:val="a3"/>
    <w:uiPriority w:val="99"/>
    <w:semiHidden/>
    <w:rsid w:val="002E33F2"/>
    <w:rPr>
      <w:rFonts w:ascii="Consolas" w:hAnsi="Consolas" w:cs="Times New Roman"/>
      <w:sz w:val="21"/>
      <w:szCs w:val="21"/>
      <w:lang w:eastAsia="ru-RU"/>
    </w:rPr>
  </w:style>
  <w:style w:type="character" w:styleId="a5">
    <w:name w:val="Hyperlink"/>
    <w:basedOn w:val="a0"/>
    <w:uiPriority w:val="99"/>
    <w:unhideWhenUsed/>
    <w:rsid w:val="002E33F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8945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641F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rmal (Web)"/>
    <w:basedOn w:val="a"/>
    <w:uiPriority w:val="99"/>
    <w:unhideWhenUsed/>
    <w:rsid w:val="006E1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6E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806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6EF9"/>
    <w:rPr>
      <w:rFonts w:ascii="Tahoma" w:hAnsi="Tahoma" w:cs="Tahoma"/>
      <w:sz w:val="16"/>
      <w:szCs w:val="16"/>
    </w:rPr>
  </w:style>
  <w:style w:type="character" w:customStyle="1" w:styleId="squot">
    <w:name w:val="squot"/>
    <w:basedOn w:val="a0"/>
    <w:rsid w:val="00113C9B"/>
  </w:style>
  <w:style w:type="character" w:customStyle="1" w:styleId="apple-style-span">
    <w:name w:val="apple-style-span"/>
    <w:basedOn w:val="a0"/>
    <w:rsid w:val="00530125"/>
  </w:style>
  <w:style w:type="character" w:customStyle="1" w:styleId="apple-converted-space">
    <w:name w:val="apple-converted-space"/>
    <w:basedOn w:val="a0"/>
    <w:rsid w:val="007B13F5"/>
  </w:style>
  <w:style w:type="paragraph" w:styleId="a9">
    <w:name w:val="caption"/>
    <w:basedOn w:val="a"/>
    <w:next w:val="a"/>
    <w:uiPriority w:val="35"/>
    <w:unhideWhenUsed/>
    <w:qFormat/>
    <w:rsid w:val="00D90341"/>
    <w:pPr>
      <w:spacing w:line="240" w:lineRule="auto"/>
    </w:pPr>
    <w:rPr>
      <w:rFonts w:ascii="Calibri" w:eastAsia="Calibri" w:hAnsi="Calibri" w:cs="Times New Roman"/>
      <w:b/>
      <w:bCs/>
      <w:color w:val="4F81BD"/>
      <w:sz w:val="18"/>
      <w:szCs w:val="18"/>
    </w:rPr>
  </w:style>
  <w:style w:type="paragraph" w:styleId="aa">
    <w:name w:val="List Paragraph"/>
    <w:basedOn w:val="a"/>
    <w:uiPriority w:val="34"/>
    <w:qFormat/>
    <w:rsid w:val="00A375BF"/>
    <w:pPr>
      <w:ind w:left="720"/>
      <w:contextualSpacing/>
    </w:pPr>
    <w:rPr>
      <w:rFonts w:ascii="Calibri" w:eastAsia="Calibri" w:hAnsi="Calibri" w:cs="Times New Roman"/>
    </w:rPr>
  </w:style>
  <w:style w:type="paragraph" w:styleId="ab">
    <w:name w:val="header"/>
    <w:basedOn w:val="a"/>
    <w:link w:val="ac"/>
    <w:uiPriority w:val="99"/>
    <w:semiHidden/>
    <w:unhideWhenUsed/>
    <w:rsid w:val="00726C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726CBF"/>
  </w:style>
  <w:style w:type="paragraph" w:styleId="ad">
    <w:name w:val="footer"/>
    <w:basedOn w:val="a"/>
    <w:link w:val="ae"/>
    <w:uiPriority w:val="99"/>
    <w:semiHidden/>
    <w:unhideWhenUsed/>
    <w:rsid w:val="00726C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726CBF"/>
  </w:style>
  <w:style w:type="paragraph" w:styleId="af">
    <w:name w:val="No Spacing"/>
    <w:uiPriority w:val="1"/>
    <w:qFormat/>
    <w:rsid w:val="00E15527"/>
    <w:pPr>
      <w:spacing w:after="0" w:line="240" w:lineRule="auto"/>
    </w:pPr>
    <w:rPr>
      <w:rFonts w:ascii="Calibri" w:eastAsia="Calibri" w:hAnsi="Calibri" w:cs="Times New Roman"/>
    </w:rPr>
  </w:style>
  <w:style w:type="paragraph" w:styleId="af0">
    <w:name w:val="Title"/>
    <w:basedOn w:val="a"/>
    <w:next w:val="a"/>
    <w:link w:val="af1"/>
    <w:uiPriority w:val="10"/>
    <w:qFormat/>
    <w:rsid w:val="00BF1A7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BF1A7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42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1133</Words>
  <Characters>6464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7582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Perminova Anastasiya</dc:creator>
  <cp:lastModifiedBy>tgladysheva</cp:lastModifiedBy>
  <cp:revision>4</cp:revision>
  <dcterms:created xsi:type="dcterms:W3CDTF">2013-08-05T11:33:00Z</dcterms:created>
  <dcterms:modified xsi:type="dcterms:W3CDTF">2013-08-05T11:34:00Z</dcterms:modified>
</cp:coreProperties>
</file>