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C2" w:rsidRPr="00633EC2" w:rsidRDefault="00633EC2" w:rsidP="00633EC2">
      <w:r w:rsidRPr="00633EC2">
        <w:rPr>
          <w:rFonts w:ascii="Arial" w:hAnsi="Arial" w:cs="Arial"/>
          <w:b/>
          <w:bCs/>
        </w:rPr>
        <w:t>Итоги апреля</w:t>
      </w:r>
      <w:r w:rsidRPr="00633EC2">
        <w:t xml:space="preserve"> </w:t>
      </w:r>
    </w:p>
    <w:p w:rsidR="00633EC2" w:rsidRPr="00633EC2" w:rsidRDefault="00633EC2" w:rsidP="00633EC2">
      <w:pPr>
        <w:pStyle w:val="a3"/>
      </w:pPr>
      <w:r w:rsidRPr="00633EC2">
        <w:rPr>
          <w:rFonts w:ascii="Arial" w:hAnsi="Arial" w:cs="Arial"/>
          <w:b/>
          <w:bCs/>
        </w:rPr>
        <w:t>Владимир Веденеев, начальник управления инвестиций УК «</w:t>
      </w:r>
      <w:proofErr w:type="spellStart"/>
      <w:r w:rsidRPr="00633EC2">
        <w:rPr>
          <w:rFonts w:ascii="Arial" w:hAnsi="Arial" w:cs="Arial"/>
          <w:b/>
          <w:bCs/>
        </w:rPr>
        <w:t>Райффайзен</w:t>
      </w:r>
      <w:proofErr w:type="spellEnd"/>
      <w:r w:rsidRPr="00633EC2">
        <w:rPr>
          <w:rFonts w:ascii="Arial" w:hAnsi="Arial" w:cs="Arial"/>
          <w:b/>
          <w:bCs/>
        </w:rPr>
        <w:t xml:space="preserve"> Капитал» </w:t>
      </w:r>
    </w:p>
    <w:p w:rsidR="00633EC2" w:rsidRDefault="00633EC2" w:rsidP="00633EC2">
      <w:pPr>
        <w:rPr>
          <w:rFonts w:ascii="Arial" w:hAnsi="Arial" w:cs="Arial"/>
        </w:rPr>
      </w:pPr>
      <w:r w:rsidRPr="00633EC2">
        <w:br/>
      </w:r>
      <w:r w:rsidRPr="00633EC2">
        <w:rPr>
          <w:rFonts w:ascii="Arial" w:hAnsi="Arial" w:cs="Arial"/>
        </w:rPr>
        <w:t xml:space="preserve">После падения в марте на 7,5% российский фондовый рынок в апреле даже немного подрос в рублевом выражении. Индекс ММВБ увеличился на 4% и закрыл месяц на отметке 1688 пунктов. Долларовый индекс РТС по итогам апреля прибавил целых 17 % в основном за счет сильного рубля, который в апреле вырос к доллару еще на 11%. Этому способствовал рост нефтяных цен: в частности, марка </w:t>
      </w:r>
      <w:proofErr w:type="spellStart"/>
      <w:r w:rsidRPr="00633EC2">
        <w:rPr>
          <w:rFonts w:ascii="Arial" w:hAnsi="Arial" w:cs="Arial"/>
        </w:rPr>
        <w:t>Brent</w:t>
      </w:r>
      <w:proofErr w:type="spellEnd"/>
      <w:r w:rsidRPr="00633EC2">
        <w:rPr>
          <w:rFonts w:ascii="Arial" w:hAnsi="Arial" w:cs="Arial"/>
        </w:rPr>
        <w:t xml:space="preserve"> подорожала в апреле на 21% и к концу месяца ее стоимость превысила отметку в $65 за баррель. Кроме того, значительное укрепление рубля происходило на фоне притока средств иностранных инвесторов в российские облигации (доходность трехлетних ОФЗ снизилась с 14,5% в марте </w:t>
      </w:r>
      <w:proofErr w:type="gramStart"/>
      <w:r w:rsidRPr="00633EC2">
        <w:rPr>
          <w:rFonts w:ascii="Arial" w:hAnsi="Arial" w:cs="Arial"/>
        </w:rPr>
        <w:t>до</w:t>
      </w:r>
      <w:proofErr w:type="gramEnd"/>
      <w:r w:rsidRPr="00633EC2">
        <w:rPr>
          <w:rFonts w:ascii="Arial" w:hAnsi="Arial" w:cs="Arial"/>
        </w:rPr>
        <w:t xml:space="preserve"> ч</w:t>
      </w:r>
      <w:r w:rsidR="00170247">
        <w:rPr>
          <w:rFonts w:ascii="Arial" w:hAnsi="Arial" w:cs="Arial"/>
        </w:rPr>
        <w:t xml:space="preserve">уть более 11% </w:t>
      </w:r>
      <w:proofErr w:type="gramStart"/>
      <w:r w:rsidR="00170247">
        <w:rPr>
          <w:rFonts w:ascii="Arial" w:hAnsi="Arial" w:cs="Arial"/>
        </w:rPr>
        <w:t>к</w:t>
      </w:r>
      <w:proofErr w:type="gramEnd"/>
      <w:r w:rsidR="00170247">
        <w:rPr>
          <w:rFonts w:ascii="Arial" w:hAnsi="Arial" w:cs="Arial"/>
        </w:rPr>
        <w:t xml:space="preserve"> концу апреля). </w:t>
      </w:r>
      <w:r w:rsidRPr="00633EC2">
        <w:rPr>
          <w:rFonts w:ascii="Arial" w:hAnsi="Arial" w:cs="Arial"/>
        </w:rPr>
        <w:t>Рост локального долгового рынка помимо сильного рубля и дорогой нефти подпитывали ожидания снижения ставки ЦБ РФ, которые воплотились в жизнь в последний день месяца – ключевая ставка была понижена на 150 б.п. до 12.5%.</w:t>
      </w:r>
      <w:r w:rsidRPr="00633EC2">
        <w:t xml:space="preserve"> </w:t>
      </w:r>
      <w:r>
        <w:br/>
      </w:r>
      <w:r w:rsidRPr="00633EC2">
        <w:br/>
      </w:r>
      <w:r w:rsidRPr="00633EC2">
        <w:rPr>
          <w:rFonts w:ascii="Arial" w:hAnsi="Arial" w:cs="Arial"/>
        </w:rPr>
        <w:t xml:space="preserve">В целом месяц можно назвать удачным для индустрии коллективных инвестиций. Почти две трети фондов закончили месяц с положительным результатом. Самыми доходными по итогам месяца стали </w:t>
      </w:r>
      <w:proofErr w:type="spellStart"/>
      <w:r w:rsidRPr="00633EC2">
        <w:rPr>
          <w:rFonts w:ascii="Arial" w:hAnsi="Arial" w:cs="Arial"/>
        </w:rPr>
        <w:t>ПИФы</w:t>
      </w:r>
      <w:proofErr w:type="spellEnd"/>
      <w:r w:rsidRPr="00633EC2">
        <w:rPr>
          <w:rFonts w:ascii="Arial" w:hAnsi="Arial" w:cs="Arial"/>
        </w:rPr>
        <w:t xml:space="preserve"> электроэнергетики, в частности, отраслевой индекс ММВБ электроэнергетика вырос в апреле на 7,1%. Доходность некоторых фондов, по данным НЛУ, превысила 10%. Также хорошо показали себя фонды акций широкого рынка. </w:t>
      </w:r>
    </w:p>
    <w:p w:rsidR="00633EC2" w:rsidRDefault="00633EC2" w:rsidP="00633EC2">
      <w:pPr>
        <w:rPr>
          <w:rFonts w:ascii="Arial" w:hAnsi="Arial" w:cs="Arial"/>
        </w:rPr>
      </w:pPr>
      <w:r w:rsidRPr="00633EC2">
        <w:br/>
      </w:r>
      <w:r w:rsidRPr="00633EC2">
        <w:rPr>
          <w:rFonts w:ascii="Arial" w:hAnsi="Arial" w:cs="Arial"/>
        </w:rPr>
        <w:t xml:space="preserve">Худшую динамику среди </w:t>
      </w:r>
      <w:proofErr w:type="spellStart"/>
      <w:r w:rsidRPr="00633EC2">
        <w:rPr>
          <w:rFonts w:ascii="Arial" w:hAnsi="Arial" w:cs="Arial"/>
        </w:rPr>
        <w:t>ПИФов</w:t>
      </w:r>
      <w:proofErr w:type="spellEnd"/>
      <w:r w:rsidRPr="00633EC2">
        <w:rPr>
          <w:rFonts w:ascii="Arial" w:hAnsi="Arial" w:cs="Arial"/>
        </w:rPr>
        <w:t xml:space="preserve"> российских акций показали фонды металлургического сектора (отраслевой индекс ММВБ металлы и добыча снизился на 8,3%). А аутсайдерами месяца стали «валютные» фонды, паи которых значительно подешевели на фоне укрепления рубля. </w:t>
      </w:r>
    </w:p>
    <w:p w:rsidR="00633EC2" w:rsidRPr="00633EC2" w:rsidRDefault="00633EC2" w:rsidP="00633EC2">
      <w:r w:rsidRPr="00633EC2">
        <w:br/>
      </w:r>
      <w:r w:rsidRPr="00633EC2">
        <w:rPr>
          <w:rFonts w:ascii="Arial" w:hAnsi="Arial" w:cs="Arial"/>
        </w:rPr>
        <w:t>Мы по-прежнему отдаем предпочтение сбалансированной стратегии на интервале до конца года. Учитывая значительную волатильность валютных котировок в последние месяцы</w:t>
      </w:r>
      <w:r w:rsidR="00C043AF">
        <w:rPr>
          <w:rFonts w:ascii="Arial" w:hAnsi="Arial" w:cs="Arial"/>
        </w:rPr>
        <w:t>,</w:t>
      </w:r>
      <w:r w:rsidRPr="00633EC2">
        <w:rPr>
          <w:rFonts w:ascii="Arial" w:hAnsi="Arial" w:cs="Arial"/>
        </w:rPr>
        <w:t xml:space="preserve"> мы по-прежнему рекомендуем не ограничиваться выбором одной валюты для инвестиций.  На наш взгляд, сейчас в портфеле на долларовые инструменты может приходиться до 40% активов, на рублевые – около 60%. Ставка на российские облигации по-прежнему оправданна: снижение ставки </w:t>
      </w:r>
      <w:proofErr w:type="gramStart"/>
      <w:r w:rsidRPr="00633EC2">
        <w:rPr>
          <w:rFonts w:ascii="Arial" w:hAnsi="Arial" w:cs="Arial"/>
        </w:rPr>
        <w:t>ЦБ</w:t>
      </w:r>
      <w:proofErr w:type="gramEnd"/>
      <w:r w:rsidRPr="00633EC2">
        <w:rPr>
          <w:rFonts w:ascii="Arial" w:hAnsi="Arial" w:cs="Arial"/>
        </w:rPr>
        <w:t xml:space="preserve"> скорее всего приведет к росту котировок, но на горизонте до конца года сбалансированный облигационный портфель может принести до 11-14%. </w:t>
      </w:r>
      <w:r w:rsidRPr="00633EC2">
        <w:br w:type="textWrapping" w:clear="all"/>
      </w:r>
    </w:p>
    <w:p w:rsidR="00633EC2" w:rsidRDefault="00633EC2" w:rsidP="00633EC2"/>
    <w:p w:rsidR="007E2A6F" w:rsidRDefault="00170247"/>
    <w:sectPr w:rsidR="007E2A6F" w:rsidSect="0077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3EC2"/>
    <w:rsid w:val="000C089B"/>
    <w:rsid w:val="00170247"/>
    <w:rsid w:val="00633EC2"/>
    <w:rsid w:val="0077679F"/>
    <w:rsid w:val="00AC4B67"/>
    <w:rsid w:val="00C0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C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E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1901</Characters>
  <Application>Microsoft Office Word</Application>
  <DocSecurity>0</DocSecurity>
  <Lines>15</Lines>
  <Paragraphs>4</Paragraphs>
  <ScaleCrop>false</ScaleCrop>
  <Company>Finam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asudakova</dc:creator>
  <cp:keywords/>
  <dc:description/>
  <cp:lastModifiedBy>asudakova</cp:lastModifiedBy>
  <cp:revision>4</cp:revision>
  <dcterms:created xsi:type="dcterms:W3CDTF">2015-05-05T14:46:00Z</dcterms:created>
  <dcterms:modified xsi:type="dcterms:W3CDTF">2015-05-05T14:51:00Z</dcterms:modified>
</cp:coreProperties>
</file>