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9F4969" w:rsidTr="009F4969">
        <w:trPr>
          <w:tblCellSpacing w:w="0" w:type="dxa"/>
        </w:trPr>
        <w:tc>
          <w:tcPr>
            <w:tcW w:w="0" w:type="auto"/>
            <w:vAlign w:val="center"/>
            <w:hideMark/>
          </w:tcPr>
          <w:p w:rsidR="009F4969" w:rsidRDefault="009F4969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noProof/>
                <w:color w:val="1F497D"/>
                <w:sz w:val="26"/>
                <w:szCs w:val="26"/>
              </w:rPr>
              <w:drawing>
                <wp:inline distT="0" distB="0" distL="0" distR="0">
                  <wp:extent cx="5743575" cy="2105705"/>
                  <wp:effectExtent l="19050" t="0" r="9525" b="0"/>
                  <wp:docPr id="1" name="Рисунок 1" descr="cid:image001.jpg@01CE7F0D.5D522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E7F0D.5D522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210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969" w:rsidTr="009F496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7"/>
              <w:gridCol w:w="10087"/>
              <w:gridCol w:w="6"/>
            </w:tblGrid>
            <w:tr w:rsidR="009F4969">
              <w:trPr>
                <w:trHeight w:val="150"/>
                <w:tblCellSpacing w:w="0" w:type="dxa"/>
              </w:trPr>
              <w:tc>
                <w:tcPr>
                  <w:tcW w:w="408" w:type="dxa"/>
                  <w:shd w:val="clear" w:color="auto" w:fill="FFFFFF"/>
                  <w:vAlign w:val="center"/>
                  <w:hideMark/>
                </w:tcPr>
                <w:p w:rsidR="009F4969" w:rsidRDefault="009F4969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101" w:type="dxa"/>
                  <w:shd w:val="clear" w:color="auto" w:fill="FFFFFF"/>
                  <w:vAlign w:val="center"/>
                  <w:hideMark/>
                </w:tcPr>
                <w:p w:rsidR="009F4969" w:rsidRDefault="009F4969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9F4969" w:rsidRDefault="009F4969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F4969">
              <w:trPr>
                <w:trHeight w:val="420"/>
                <w:tblCellSpacing w:w="0" w:type="dxa"/>
              </w:trPr>
              <w:tc>
                <w:tcPr>
                  <w:tcW w:w="408" w:type="dxa"/>
                  <w:vAlign w:val="center"/>
                  <w:hideMark/>
                </w:tcPr>
                <w:p w:rsidR="009F4969" w:rsidRDefault="009F4969">
                  <w:pPr>
                    <w:rPr>
                      <w:rFonts w:ascii="Arial" w:hAnsi="Arial" w:cs="Arial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  <w:lang w:eastAsia="en-US"/>
                    </w:rPr>
                    <w:t> </w:t>
                  </w:r>
                </w:p>
              </w:tc>
              <w:tc>
                <w:tcPr>
                  <w:tcW w:w="10101" w:type="dxa"/>
                  <w:vAlign w:val="center"/>
                  <w:hideMark/>
                </w:tcPr>
                <w:p w:rsidR="009F4969" w:rsidRDefault="009F4969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9F4969" w:rsidRDefault="009F4969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F4969">
              <w:trPr>
                <w:tblCellSpacing w:w="0" w:type="dxa"/>
              </w:trPr>
              <w:tc>
                <w:tcPr>
                  <w:tcW w:w="408" w:type="dxa"/>
                  <w:vAlign w:val="center"/>
                  <w:hideMark/>
                </w:tcPr>
                <w:p w:rsidR="009F4969" w:rsidRDefault="009F4969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101" w:type="dxa"/>
                  <w:vAlign w:val="center"/>
                  <w:hideMark/>
                </w:tcPr>
                <w:p w:rsidR="009F4969" w:rsidRDefault="009F4969">
                  <w:pPr>
                    <w:rPr>
                      <w:rFonts w:ascii="Arial" w:hAnsi="Arial" w:cs="Arial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1F497D"/>
                      <w:sz w:val="26"/>
                      <w:szCs w:val="26"/>
                      <w:lang w:eastAsia="en-US"/>
                    </w:rPr>
                    <w:t> </w:t>
                  </w:r>
                </w:p>
                <w:tbl>
                  <w:tblPr>
                    <w:tblW w:w="4516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91"/>
                    <w:gridCol w:w="20"/>
                  </w:tblGrid>
                  <w:tr w:rsidR="009F4969" w:rsidTr="009F4969">
                    <w:trPr>
                      <w:tblCellSpacing w:w="0" w:type="dxa"/>
                    </w:trPr>
                    <w:tc>
                      <w:tcPr>
                        <w:tcW w:w="4989" w:type="pct"/>
                        <w:vAlign w:val="center"/>
                      </w:tcPr>
                      <w:p w:rsidR="009F4969" w:rsidRDefault="009F4969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t>Рынок акций</w:t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  <w:t> </w:t>
                        </w:r>
                      </w:p>
                      <w:p w:rsidR="009F4969" w:rsidRDefault="009F4969">
                        <w:pPr>
                          <w:spacing w:after="240"/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1190625" cy="1190625"/>
                              <wp:effectExtent l="19050" t="0" r="9525" b="0"/>
                              <wp:docPr id="2" name="Рисунок 2" descr="cid:image002.jpg@01CE7D8D.1A6B3F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id:image002.jpg@01CE7D8D.1A6B3F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r:link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t>Владимир Брагин,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  <w:lang w:eastAsia="en-US"/>
                          </w:rPr>
                          <w:t>директор по анализу финансовых рынков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  <w:lang w:eastAsia="en-US"/>
                          </w:rPr>
                          <w:br/>
                          <w:t>и макроэкономики УК «Альфа-Капитал»</w:t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26"/>
                            <w:szCs w:val="26"/>
                            <w:lang w:eastAsia="en-US"/>
                          </w:rPr>
                        </w:pP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Несмотря на расширение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санкций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российский рынок в целом завершил пятидневку в тренде с мировыми площадками: индекс РТС упал на 2,62%, S&amp;P 500 опустился на 2,72%, основные индексы развивающихся стран опустились в среднем на 1,7%.  Риски, связанные с Украиной и возможными новыми санкциями, уже заложены рынком в цены акций, и в ближайшее время распродаж на рынке ждать не стоит, но и активность «быков» в таких условиях будет минимальной.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 зарубежных рынках мы сохраняем ставку на акции американских компаний. Текущая коррекция, вызванная публикаций данных рынка труда, оказавшихся хуже прогноза, не будет продолжительной и является привлекательным моментом для покупок акций американских компаний на среднесрочную перспективу. Экономика США в целом демонстрирует позитивные сигналы, что подтверждается сильными данными по динамике ВВП за второй квартал и относительно сильными отчетами в корпоративном секторе, а слабые результаты в первом квартале были следствием аномально низких температур зимой.</w:t>
                        </w:r>
                      </w:p>
                      <w:p w:rsidR="009F4969" w:rsidRDefault="009F4969">
                        <w:pPr>
                          <w:pStyle w:val="a4"/>
                          <w:spacing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На предстоящей неделе на развитых площадках повестка дня будет формироваться статистикой: ждем июльских PMI в сфере услуг еврозоны, а также июльские данные по динамике розничных продаж. Во второй половине недели состоится заседание ЕЦБ и Банка Англии, но сюрпризов от регуляторов рынок не ждет. На развивающихся рынках на неделе выйдет большой блок статистики из Китая: в частности, будет обнародован июльский CPI, торговый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 xml:space="preserve">баланс и HSBC PMI в сфере услуг. Неоднозначные макроэкономические данные, выходящие в Китае, по-прежнему беспокоят инвесторов, но в случае изменения ситуации в лучшую сторону интерес к развивающимся рынкам в целом может возрасти. </w:t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szCs w:val="44"/>
                            <w:lang w:eastAsia="en-US"/>
                          </w:rPr>
                          <w:t> </w:t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t>Рынок облигаций</w:t>
                        </w:r>
                      </w:p>
                      <w:p w:rsidR="009F4969" w:rsidRDefault="009F4969">
                        <w:pPr>
                          <w:spacing w:after="240"/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1190625" cy="1190625"/>
                              <wp:effectExtent l="19050" t="0" r="9525" b="0"/>
                              <wp:docPr id="3" name="Рисунок 3" descr="cid:image004.jpg@01CE7BFE.B94C54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id:image004.jpg@01CE7BFE.B94C54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t xml:space="preserve">Алексей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t>Губин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t>,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  <w:lang w:eastAsia="en-US"/>
                          </w:rPr>
                          <w:t>аналитик УК «Альфа-Капитал»</w:t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  <w:lang w:eastAsia="en-US"/>
                          </w:rPr>
                        </w:pPr>
                      </w:p>
                      <w:p w:rsidR="009F4969" w:rsidRDefault="009F4969">
                        <w:pPr>
                          <w:pStyle w:val="a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Рублевые облигации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На прошлой неделе мы видели преимущественно негативную динамику рынка рублевых облигаций на фоне введенных санкций против РФ со стороны ЕС и повышения ЦБ РФ ключевой ставки до уровня 8% годовых. ОФЗ 26207 потеряли порядка 2%, корпоративные облигации практически не торговались, основная жизнь – в коротких, до 1 года, инструментах высокого кредитного качества (рейтинг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ВВ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/ВВВ).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br/>
                          <w:t>В целом же рынок сейчас находится на достаточно привлекательных уровнях доходности, которые превышают долгосрочные инфляционные ориентиры. При этом август – это традиционно месяц затишья на рынке рублевых облигаций, и мы не ожидаем от рынка ярко выраженной ценовой динамики в ближайший месяц.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Из наиболее интересных инструментов отметим длинные ОФЗ, размещенные в течение последних 2−3 месяцев субфедеральные выпуски (например, Липецкая область-9, Красноярский край-8), короткие качественные бумаги с доходностью 9,75%+ (Вымпелком-1/2/4, НПК БО-1/2, Металлоинвест-1/5/6), которые обладают достаточной ликвидностью и при этом невысокими процентными рисками в силу низкой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дюрации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Мы считаем рациональным формировать среднесрочные позиции уже сейчас, именно в силу привлекательных уровней доходности. Предпочтение рекомендуем отдавать ОФЗ, а также выпускам рейтинговой категории ВВ.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9F4969" w:rsidRDefault="009F4969">
                        <w:pPr>
                          <w:pStyle w:val="a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Еврооблигации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Рынок евробондов на прошлой неделе показал крайне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высокую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волатильность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. Разбег котировок по длинным инструментам составляет до 5%. В конце недели мы увидели отскок рынка вверх на фоне массового закрытия коротких позиций, открытых ранее на ожидании секторальных санкций против РФ. Наиболее пострадавшие в ходе коррекции банковские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субординированные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выпуски отскочили на 2−4% вверх. Сегмент негосударственных бумаг был более стабильным. В настоящий момент мы торгуемся на достаточно стрессовых уровнях доходности, и рынок предлагает отличную возможность для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формирования среднесрочных позиций. Так, мы видим крайне привлекательные возможности в коротких выпусках еврооблигаций (Альфа-17, Еврохим-17, Металлоинвест-16, ТМК-15), которые могут обеспечить доходность на уровне выше 6% годовых в долларах США при умеренных процентных рисках. Также стоит обратить внимание на длинные старшие выпуски наиболее крупных банков (включая Альфа-Банк-21) и на облигации нефинансового сектора, которые также снизились в рамках коррекции.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</w:rPr>
                        </w:pP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t>Рынок сырьевых товаров</w:t>
                        </w:r>
                      </w:p>
                      <w:p w:rsidR="009F4969" w:rsidRDefault="009F4969">
                        <w:pPr>
                          <w:spacing w:after="240"/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1190625" cy="1190625"/>
                              <wp:effectExtent l="19050" t="0" r="9525" b="0"/>
                              <wp:docPr id="4" name="Рисунок 4" descr="cid:image002.jpg@01CE7D8D.1A6B3F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id:image002.jpg@01CE7D8D.1A6B3F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r:link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t>Владимир Брагин,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  <w:lang w:eastAsia="en-US"/>
                          </w:rPr>
                          <w:t>директор по анализу финансовых рынков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  <w:lang w:eastAsia="en-US"/>
                          </w:rPr>
                          <w:br/>
                          <w:t>и макроэкономики УК «Альфа-Капитал»</w:t>
                        </w:r>
                      </w:p>
                      <w:p w:rsidR="009F4969" w:rsidRDefault="009F4969">
                        <w:pPr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  <w:lang w:eastAsia="en-US"/>
                          </w:rPr>
                        </w:pPr>
                      </w:p>
                      <w:p w:rsidR="009F4969" w:rsidRDefault="009F4969">
                        <w:pPr>
                          <w:pStyle w:val="a6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События и комментарии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Цены на нефть снизились до локальных минимумов: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Brent</w:t>
                        </w:r>
                        <w:r w:rsidRPr="009F4969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– ниже 105 долл. за баррель, а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WTI</w:t>
                        </w:r>
                        <w:r w:rsidRPr="009F4969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за последнюю неделю подешевела почти на 4% и находится в районе 98 долл. Наиболее сильный негатив на рынок нефти принесли США. На прошедшей неделе основным драйвером были слабые данные по рынку труда США (безработица выросла на 0,1%) и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чикагский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PMI</w:t>
                        </w:r>
                        <w:r w:rsidRPr="009F4969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(снизился на 10 пунктов), которые могут выступить сигналом к сокращению спроса на нефть и нефтепродукты.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Рынок промышленных металлов показывает зависимость от состояния экономики Китая. Данные по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HSBC</w:t>
                        </w:r>
                        <w:r w:rsidRPr="009F4969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PMI</w:t>
                        </w:r>
                        <w:r w:rsidRPr="009F4969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Китая вышли меньше предварительного значения. Индекс составил 51,7 пункта, что ниже предварительного значения на 52 пункта. Индекс промышленных металлов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LMEX</w:t>
                        </w:r>
                        <w:r w:rsidRPr="009F4969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снизился на 1,3%.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Рынок драгметаллов в целом идет на одном уровне с фондовым рынком, сейчас его поддерживает слабая статистика из США. Но, с другой стороны, на драгоценные металлы давит укрепление доллара, которое поддерживается сильными предварительными данными по ВВП США за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II</w:t>
                        </w:r>
                        <w:r>
                          <w:rPr>
                            <w:rFonts w:ascii="Arial" w:hAnsi="Arial" w:cs="Arial"/>
                          </w:rPr>
                          <w:t xml:space="preserve"> квартал.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Рынок платиноидов нейтрально отреагировал на новый блок санкций, но на него сейчас давят слабые данные по США, что может привести к сокращению спроса на автомобили, что повлечет сокращение спроса на металлы платиновой группы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автопроизводителями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. </w:t>
                        </w:r>
                      </w:p>
                      <w:p w:rsidR="009F4969" w:rsidRDefault="009F4969">
                        <w:pPr>
                          <w:pStyle w:val="a4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 </w:t>
                        </w:r>
                      </w:p>
                      <w:p w:rsidR="009F4969" w:rsidRDefault="009F4969">
                        <w:pPr>
                          <w:pStyle w:val="a4"/>
                          <w:spacing w:before="0"/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" w:type="pct"/>
                        <w:vAlign w:val="center"/>
                        <w:hideMark/>
                      </w:tcPr>
                      <w:p w:rsidR="009F4969" w:rsidRDefault="009F4969" w:rsidP="009F4969">
                        <w:pPr>
                          <w:ind w:left="-344" w:hanging="53"/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eastAsia="en-US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9F4969" w:rsidRDefault="009F4969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9F4969" w:rsidRDefault="009F4969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F4969" w:rsidRDefault="009F4969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</w:tr>
    </w:tbl>
    <w:p w:rsidR="007F0040" w:rsidRDefault="007F0040" w:rsidP="009F4969">
      <w:pPr>
        <w:ind w:left="-567"/>
      </w:pPr>
    </w:p>
    <w:sectPr w:rsidR="007F0040" w:rsidSect="007F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969"/>
    <w:rsid w:val="007F0040"/>
    <w:rsid w:val="009F4969"/>
    <w:rsid w:val="00A0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 Текст Знак"/>
    <w:basedOn w:val="a0"/>
    <w:link w:val="a4"/>
    <w:locked/>
    <w:rsid w:val="009F4969"/>
    <w:rPr>
      <w:rFonts w:ascii="Arial Narrow" w:hAnsi="Arial Narrow"/>
    </w:rPr>
  </w:style>
  <w:style w:type="paragraph" w:customStyle="1" w:styleId="a4">
    <w:name w:val="А Текст"/>
    <w:basedOn w:val="a"/>
    <w:link w:val="a3"/>
    <w:rsid w:val="009F4969"/>
    <w:pPr>
      <w:spacing w:before="80"/>
      <w:jc w:val="both"/>
    </w:pPr>
    <w:rPr>
      <w:rFonts w:ascii="Arial Narrow" w:hAnsi="Arial Narrow" w:cstheme="minorBidi"/>
      <w:sz w:val="22"/>
      <w:szCs w:val="22"/>
      <w:lang w:eastAsia="en-US"/>
    </w:rPr>
  </w:style>
  <w:style w:type="character" w:customStyle="1" w:styleId="a5">
    <w:name w:val="А_ПОДЗАГОЛОВОК Знак"/>
    <w:basedOn w:val="a0"/>
    <w:link w:val="a6"/>
    <w:locked/>
    <w:rsid w:val="009F4969"/>
    <w:rPr>
      <w:rFonts w:ascii="Arial" w:hAnsi="Arial" w:cs="Arial"/>
      <w:b/>
      <w:bCs/>
      <w:color w:val="FF0000"/>
    </w:rPr>
  </w:style>
  <w:style w:type="paragraph" w:customStyle="1" w:styleId="a6">
    <w:name w:val="А_ПОДЗАГОЛОВОК"/>
    <w:basedOn w:val="a"/>
    <w:link w:val="a5"/>
    <w:rsid w:val="009F4969"/>
    <w:rPr>
      <w:rFonts w:ascii="Arial" w:hAnsi="Arial" w:cs="Arial"/>
      <w:b/>
      <w:bCs/>
      <w:color w:val="FF0000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F49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96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2.jpg@01CFAFFE.2CAD90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jpg@01CFAFFE.2CAD90C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3.jpg@01CFAFFE.2CAD90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4725</Characters>
  <Application>Microsoft Office Word</Application>
  <DocSecurity>0</DocSecurity>
  <Lines>39</Lines>
  <Paragraphs>11</Paragraphs>
  <ScaleCrop>false</ScaleCrop>
  <Company>Finam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igrodzinskaya</dc:creator>
  <cp:lastModifiedBy>igrodzinskaya</cp:lastModifiedBy>
  <cp:revision>2</cp:revision>
  <dcterms:created xsi:type="dcterms:W3CDTF">2014-08-04T12:21:00Z</dcterms:created>
  <dcterms:modified xsi:type="dcterms:W3CDTF">2014-08-04T12:26:00Z</dcterms:modified>
</cp:coreProperties>
</file>