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1C8" w:rsidRDefault="001F41C8" w:rsidP="001F41C8">
      <w:pPr>
        <w:spacing w:before="60"/>
        <w:rPr>
          <w:rFonts w:ascii="Times New Roman" w:eastAsia="MS Mincho" w:hAnsi="Times New Roman"/>
          <w:b/>
          <w:color w:val="000000" w:themeColor="text1"/>
          <w:sz w:val="24"/>
          <w:szCs w:val="24"/>
        </w:rPr>
      </w:pPr>
    </w:p>
    <w:p w:rsidR="001F41C8" w:rsidRPr="001F41C8" w:rsidRDefault="001F41C8" w:rsidP="001F41C8">
      <w:pPr>
        <w:spacing w:before="60"/>
        <w:rPr>
          <w:rFonts w:ascii="Times New Roman" w:eastAsia="MS Mincho" w:hAnsi="Times New Roman"/>
          <w:b/>
          <w:color w:val="000000" w:themeColor="text1"/>
          <w:sz w:val="24"/>
          <w:szCs w:val="24"/>
        </w:rPr>
      </w:pPr>
      <w:r w:rsidRPr="001F41C8">
        <w:rPr>
          <w:rFonts w:ascii="Times New Roman" w:eastAsia="MS Mincho" w:hAnsi="Times New Roman"/>
          <w:b/>
          <w:color w:val="000000" w:themeColor="text1"/>
          <w:sz w:val="24"/>
          <w:szCs w:val="24"/>
        </w:rPr>
        <w:t xml:space="preserve">Новый </w:t>
      </w:r>
      <w:proofErr w:type="spellStart"/>
      <w:r w:rsidRPr="001F41C8">
        <w:rPr>
          <w:rFonts w:ascii="Times New Roman" w:eastAsia="MS Mincho" w:hAnsi="Times New Roman"/>
          <w:b/>
          <w:color w:val="000000" w:themeColor="text1"/>
          <w:sz w:val="24"/>
          <w:szCs w:val="24"/>
        </w:rPr>
        <w:t>инвестлозунг</w:t>
      </w:r>
      <w:proofErr w:type="spellEnd"/>
      <w:r w:rsidRPr="001F41C8">
        <w:rPr>
          <w:rFonts w:ascii="Times New Roman" w:eastAsia="MS Mincho" w:hAnsi="Times New Roman"/>
          <w:b/>
          <w:color w:val="000000" w:themeColor="text1"/>
          <w:sz w:val="24"/>
          <w:szCs w:val="24"/>
        </w:rPr>
        <w:t xml:space="preserve">: «Не хочешь – научим, боишься – не оставим альтернатив» </w:t>
      </w:r>
    </w:p>
    <w:p w:rsidR="001F41C8" w:rsidRPr="001F41C8" w:rsidRDefault="001F41C8" w:rsidP="001F41C8">
      <w:pPr>
        <w:jc w:val="both"/>
        <w:rPr>
          <w:rFonts w:ascii="Times New Roman" w:eastAsia="Times New Roman" w:hAnsi="Times New Roman"/>
          <w:b/>
          <w:bCs/>
          <w:color w:val="4F81BD"/>
          <w:sz w:val="24"/>
          <w:szCs w:val="24"/>
        </w:rPr>
      </w:pPr>
      <w:r w:rsidRPr="001F41C8">
        <w:rPr>
          <w:rFonts w:ascii="Times New Roman" w:eastAsia="Times New Roman" w:hAnsi="Times New Roman"/>
          <w:b/>
          <w:bCs/>
          <w:color w:val="4F81BD"/>
          <w:sz w:val="24"/>
          <w:szCs w:val="24"/>
        </w:rPr>
        <w:t>Основные дальнейшие сценарии</w:t>
      </w:r>
    </w:p>
    <w:p w:rsidR="001F41C8" w:rsidRPr="001F41C8" w:rsidRDefault="001F41C8" w:rsidP="001F41C8">
      <w:pPr>
        <w:jc w:val="both"/>
        <w:rPr>
          <w:rFonts w:ascii="Times New Roman" w:hAnsi="Times New Roman"/>
          <w:sz w:val="24"/>
          <w:szCs w:val="24"/>
        </w:rPr>
      </w:pPr>
      <w:r w:rsidRPr="001F41C8">
        <w:rPr>
          <w:rFonts w:ascii="Times New Roman" w:hAnsi="Times New Roman"/>
          <w:sz w:val="24"/>
          <w:szCs w:val="24"/>
        </w:rPr>
        <w:t xml:space="preserve">На рынке продолжает доминировать на редкость устойчивое дурное настроение. </w:t>
      </w:r>
      <w:proofErr w:type="gramStart"/>
      <w:r w:rsidRPr="001F41C8">
        <w:rPr>
          <w:rFonts w:ascii="Times New Roman" w:hAnsi="Times New Roman"/>
          <w:sz w:val="24"/>
          <w:szCs w:val="24"/>
        </w:rPr>
        <w:t>Хотя разговоры о неминуемом «развале еврозоны» или, в крайнем случае, дефолте Греции, немного поутихли, отсутствует даже малейшая гарантия, что они внезапно не возобновятся при «первом же дуновении ветерка», а посему у рынков нет даже малейшего желания если не развернуться, то хотя бы прекратить затянувшееся и уже давно утратившее какую-либо фундаментальную составляющую падение.</w:t>
      </w:r>
      <w:proofErr w:type="gramEnd"/>
      <w:r w:rsidRPr="001F41C8">
        <w:rPr>
          <w:rFonts w:ascii="Times New Roman" w:hAnsi="Times New Roman"/>
          <w:sz w:val="24"/>
          <w:szCs w:val="24"/>
        </w:rPr>
        <w:t xml:space="preserve"> Особо неприятен тот факт, что распродажам подвергаются не только волатильные фондовые рынки, но и валюты развивающихся стран. </w:t>
      </w:r>
      <w:proofErr w:type="gramStart"/>
      <w:r w:rsidRPr="001F41C8">
        <w:rPr>
          <w:rFonts w:ascii="Times New Roman" w:hAnsi="Times New Roman"/>
          <w:sz w:val="24"/>
          <w:szCs w:val="24"/>
        </w:rPr>
        <w:t>Последние до недавнего времени охотно скупались ничего плохого не предчувствовавшими поклонниками «</w:t>
      </w:r>
      <w:r w:rsidRPr="001F41C8">
        <w:rPr>
          <w:rFonts w:ascii="Times New Roman" w:hAnsi="Times New Roman"/>
          <w:sz w:val="24"/>
          <w:szCs w:val="24"/>
          <w:lang w:val="en-US"/>
        </w:rPr>
        <w:t>carry</w:t>
      </w:r>
      <w:r w:rsidRPr="001F41C8">
        <w:rPr>
          <w:rFonts w:ascii="Times New Roman" w:hAnsi="Times New Roman"/>
          <w:sz w:val="24"/>
          <w:szCs w:val="24"/>
        </w:rPr>
        <w:t xml:space="preserve"> </w:t>
      </w:r>
      <w:r w:rsidRPr="001F41C8">
        <w:rPr>
          <w:rFonts w:ascii="Times New Roman" w:hAnsi="Times New Roman"/>
          <w:sz w:val="24"/>
          <w:szCs w:val="24"/>
          <w:lang w:val="en-US"/>
        </w:rPr>
        <w:t>trade</w:t>
      </w:r>
      <w:r w:rsidRPr="001F41C8">
        <w:rPr>
          <w:rFonts w:ascii="Times New Roman" w:hAnsi="Times New Roman"/>
          <w:sz w:val="24"/>
          <w:szCs w:val="24"/>
        </w:rPr>
        <w:t xml:space="preserve">» - причём, речь идёт о финансовых потоках, доходящих до сотни миллиардов долларов в глобальном масштабе. </w:t>
      </w:r>
      <w:proofErr w:type="gramEnd"/>
    </w:p>
    <w:p w:rsidR="001F41C8" w:rsidRPr="001F41C8" w:rsidRDefault="001F41C8" w:rsidP="001F41C8">
      <w:pPr>
        <w:jc w:val="both"/>
        <w:rPr>
          <w:rFonts w:ascii="Times New Roman" w:hAnsi="Times New Roman"/>
          <w:sz w:val="24"/>
          <w:szCs w:val="24"/>
        </w:rPr>
      </w:pPr>
      <w:r w:rsidRPr="001F41C8">
        <w:rPr>
          <w:rFonts w:ascii="Times New Roman" w:hAnsi="Times New Roman"/>
          <w:sz w:val="24"/>
          <w:szCs w:val="24"/>
        </w:rPr>
        <w:t>Самое неприятное, что может произойти с валютами развивающихся стран – это «</w:t>
      </w:r>
      <w:proofErr w:type="spellStart"/>
      <w:r w:rsidRPr="001F41C8">
        <w:rPr>
          <w:rFonts w:ascii="Times New Roman" w:hAnsi="Times New Roman"/>
          <w:sz w:val="24"/>
          <w:szCs w:val="24"/>
        </w:rPr>
        <w:t>ролловер</w:t>
      </w:r>
      <w:proofErr w:type="spellEnd"/>
      <w:r w:rsidRPr="001F41C8">
        <w:rPr>
          <w:rFonts w:ascii="Times New Roman" w:hAnsi="Times New Roman"/>
          <w:sz w:val="24"/>
          <w:szCs w:val="24"/>
        </w:rPr>
        <w:t xml:space="preserve">» (выход) из </w:t>
      </w:r>
      <w:r w:rsidRPr="001F41C8">
        <w:rPr>
          <w:rFonts w:ascii="Times New Roman" w:hAnsi="Times New Roman"/>
          <w:sz w:val="24"/>
          <w:szCs w:val="24"/>
          <w:lang w:val="en-US"/>
        </w:rPr>
        <w:t>carry</w:t>
      </w:r>
      <w:r w:rsidRPr="001F41C8">
        <w:rPr>
          <w:rFonts w:ascii="Times New Roman" w:hAnsi="Times New Roman"/>
          <w:sz w:val="24"/>
          <w:szCs w:val="24"/>
        </w:rPr>
        <w:t>-</w:t>
      </w:r>
      <w:r w:rsidRPr="001F41C8">
        <w:rPr>
          <w:rFonts w:ascii="Times New Roman" w:hAnsi="Times New Roman"/>
          <w:sz w:val="24"/>
          <w:szCs w:val="24"/>
          <w:lang w:val="en-US"/>
        </w:rPr>
        <w:t>trade</w:t>
      </w:r>
      <w:r w:rsidRPr="001F41C8">
        <w:rPr>
          <w:rFonts w:ascii="Times New Roman" w:hAnsi="Times New Roman"/>
          <w:sz w:val="24"/>
          <w:szCs w:val="24"/>
        </w:rPr>
        <w:t>. Пока что динамика падения курсов таких валют как российский рубль, индийская и индонезийская рупии, южнокорейская вона, таиландский бат и бразильский реал – приблизительно сопоставима с предлагаемыми процентными ставками по депозитам в этих странах. Настоящая драма может развернуться в том случае, если темпы их девальвации против доллара превысят гарантируемую доходность по вкладам. Не нужно быть пророком, чтобы понять, что волна оттока будет неминуемой и мощной.</w:t>
      </w:r>
    </w:p>
    <w:p w:rsidR="001F41C8" w:rsidRPr="001F41C8" w:rsidRDefault="001F41C8" w:rsidP="001F41C8">
      <w:pPr>
        <w:jc w:val="both"/>
        <w:rPr>
          <w:rFonts w:ascii="Times New Roman" w:hAnsi="Times New Roman"/>
          <w:sz w:val="24"/>
          <w:szCs w:val="24"/>
        </w:rPr>
      </w:pPr>
      <w:r w:rsidRPr="001F41C8">
        <w:rPr>
          <w:rFonts w:ascii="Times New Roman" w:hAnsi="Times New Roman"/>
          <w:sz w:val="24"/>
          <w:szCs w:val="24"/>
        </w:rPr>
        <w:t xml:space="preserve">Вышеописанный сценарий не надо воспринимать как наш прогноз, а всего лишь как одну из вероятностей, поскольку на рынке присутствует достаточное количество «добрых сил», которые создают (пока что!) ощутимый контрбаланс подобному развитию событий. В первую очередь, подешевевшие глобальные акции вызвали волну </w:t>
      </w:r>
      <w:proofErr w:type="spellStart"/>
      <w:r w:rsidRPr="001F41C8">
        <w:rPr>
          <w:rFonts w:ascii="Times New Roman" w:hAnsi="Times New Roman"/>
          <w:sz w:val="24"/>
          <w:szCs w:val="24"/>
        </w:rPr>
        <w:t>самовыкупов</w:t>
      </w:r>
      <w:proofErr w:type="spellEnd"/>
      <w:r w:rsidRPr="001F41C8">
        <w:rPr>
          <w:rFonts w:ascii="Times New Roman" w:hAnsi="Times New Roman"/>
          <w:sz w:val="24"/>
          <w:szCs w:val="24"/>
        </w:rPr>
        <w:t xml:space="preserve"> (</w:t>
      </w:r>
      <w:r w:rsidRPr="001F41C8">
        <w:rPr>
          <w:rFonts w:ascii="Times New Roman" w:hAnsi="Times New Roman"/>
          <w:sz w:val="24"/>
          <w:szCs w:val="24"/>
          <w:lang w:val="en-US"/>
        </w:rPr>
        <w:t>buybacks</w:t>
      </w:r>
      <w:r w:rsidRPr="001F41C8">
        <w:rPr>
          <w:rFonts w:ascii="Times New Roman" w:hAnsi="Times New Roman"/>
          <w:sz w:val="24"/>
          <w:szCs w:val="24"/>
        </w:rPr>
        <w:t xml:space="preserve">) во всём мире (собственники компаний считают свои акции слишком дешёвыми, чтобы оставлять их у частных инвесторов). Эта волна, в свою очередь, мотивирует новых потенциальных покупателей «двигаться» за новыми справедливыми ценами – на сей раз установленными (сугубо эмпирическим способом) этими самыми собственниками компаний (примеры – ГМК НорНикель, Черкизово, Аэрофлот и т.д.) Во-вторых, портфельные управляющие «соскучились» по реальной доходности, без обеспечения которой их результаты в 2011 г. будут плачевными и, как следствие, многие из них потеряют работу. Осознание этой угрозы на фоне длительно остывающих рынков толкает первых на самостоятельное формирование как «коротких» так и «длинных» </w:t>
      </w:r>
      <w:proofErr w:type="spellStart"/>
      <w:r w:rsidRPr="001F41C8">
        <w:rPr>
          <w:rFonts w:ascii="Times New Roman" w:hAnsi="Times New Roman"/>
          <w:sz w:val="24"/>
          <w:szCs w:val="24"/>
        </w:rPr>
        <w:t>инвестидей</w:t>
      </w:r>
      <w:proofErr w:type="spellEnd"/>
      <w:r w:rsidRPr="001F41C8">
        <w:rPr>
          <w:rFonts w:ascii="Times New Roman" w:hAnsi="Times New Roman"/>
          <w:sz w:val="24"/>
          <w:szCs w:val="24"/>
        </w:rPr>
        <w:t xml:space="preserve"> – причём, всё больший спекулятивный интерес обнаруживается в рынках </w:t>
      </w:r>
      <w:r w:rsidRPr="001F41C8">
        <w:rPr>
          <w:rFonts w:ascii="Times New Roman" w:hAnsi="Times New Roman"/>
          <w:sz w:val="24"/>
          <w:szCs w:val="24"/>
          <w:lang w:val="en-US"/>
        </w:rPr>
        <w:t>soft</w:t>
      </w:r>
      <w:r w:rsidRPr="001F41C8">
        <w:rPr>
          <w:rFonts w:ascii="Times New Roman" w:hAnsi="Times New Roman"/>
          <w:sz w:val="24"/>
          <w:szCs w:val="24"/>
        </w:rPr>
        <w:t xml:space="preserve"> </w:t>
      </w:r>
      <w:r w:rsidRPr="001F41C8">
        <w:rPr>
          <w:rFonts w:ascii="Times New Roman" w:hAnsi="Times New Roman"/>
          <w:sz w:val="24"/>
          <w:szCs w:val="24"/>
          <w:lang w:val="en-US"/>
        </w:rPr>
        <w:t>commodities</w:t>
      </w:r>
      <w:r w:rsidRPr="001F41C8">
        <w:rPr>
          <w:rFonts w:ascii="Times New Roman" w:hAnsi="Times New Roman"/>
          <w:sz w:val="24"/>
          <w:szCs w:val="24"/>
        </w:rPr>
        <w:t xml:space="preserve"> (рис, сахар и т.д.) Похоже, динамика оттока средств из фондов развивающихся стран (в отличие от динамики оттока из их национальных валют!) достигла своего логического дна. Несколько крупных фондов (в том числе, и один японский) в конце прошлой неделе сообщили о возобновлении формирования портфелей на базе индексов развивающихся стран (в частности, </w:t>
      </w:r>
      <w:r w:rsidRPr="001F41C8">
        <w:rPr>
          <w:rFonts w:ascii="Times New Roman" w:hAnsi="Times New Roman"/>
          <w:sz w:val="24"/>
          <w:szCs w:val="24"/>
          <w:lang w:val="en-US"/>
        </w:rPr>
        <w:t>MSCI</w:t>
      </w:r>
      <w:r w:rsidRPr="001F41C8">
        <w:rPr>
          <w:rFonts w:ascii="Times New Roman" w:hAnsi="Times New Roman"/>
          <w:sz w:val="24"/>
          <w:szCs w:val="24"/>
        </w:rPr>
        <w:t xml:space="preserve"> </w:t>
      </w:r>
      <w:r w:rsidRPr="001F41C8">
        <w:rPr>
          <w:rFonts w:ascii="Times New Roman" w:hAnsi="Times New Roman"/>
          <w:sz w:val="24"/>
          <w:szCs w:val="24"/>
          <w:lang w:val="en-US"/>
        </w:rPr>
        <w:t>Emerging</w:t>
      </w:r>
      <w:r w:rsidRPr="001F41C8">
        <w:rPr>
          <w:rFonts w:ascii="Times New Roman" w:hAnsi="Times New Roman"/>
          <w:sz w:val="24"/>
          <w:szCs w:val="24"/>
        </w:rPr>
        <w:t xml:space="preserve"> </w:t>
      </w:r>
      <w:r w:rsidRPr="001F41C8">
        <w:rPr>
          <w:rFonts w:ascii="Times New Roman" w:hAnsi="Times New Roman"/>
          <w:sz w:val="24"/>
          <w:szCs w:val="24"/>
          <w:lang w:val="en-US"/>
        </w:rPr>
        <w:t>Markets</w:t>
      </w:r>
      <w:r w:rsidRPr="001F41C8">
        <w:rPr>
          <w:rFonts w:ascii="Times New Roman" w:hAnsi="Times New Roman"/>
          <w:sz w:val="24"/>
          <w:szCs w:val="24"/>
        </w:rPr>
        <w:t xml:space="preserve">). По факту это можно интерпретировать в том ключе, что восстановление фондовых индексов </w:t>
      </w:r>
      <w:r w:rsidRPr="001F41C8">
        <w:rPr>
          <w:rFonts w:ascii="Times New Roman" w:hAnsi="Times New Roman"/>
          <w:sz w:val="24"/>
          <w:szCs w:val="24"/>
          <w:lang w:val="en-US"/>
        </w:rPr>
        <w:t>GEM</w:t>
      </w:r>
      <w:r w:rsidRPr="001F41C8">
        <w:rPr>
          <w:rFonts w:ascii="Times New Roman" w:hAnsi="Times New Roman"/>
          <w:sz w:val="24"/>
          <w:szCs w:val="24"/>
        </w:rPr>
        <w:t xml:space="preserve"> может начаться в любой момент – даже на фоне динамичного падения их национальных валют. </w:t>
      </w:r>
    </w:p>
    <w:p w:rsidR="001F41C8" w:rsidRPr="001F41C8" w:rsidRDefault="001F41C8" w:rsidP="001F41C8">
      <w:pPr>
        <w:jc w:val="both"/>
        <w:rPr>
          <w:rFonts w:ascii="Times New Roman" w:hAnsi="Times New Roman"/>
          <w:sz w:val="24"/>
          <w:szCs w:val="24"/>
        </w:rPr>
      </w:pPr>
      <w:r w:rsidRPr="001F41C8">
        <w:rPr>
          <w:rFonts w:ascii="Times New Roman" w:hAnsi="Times New Roman"/>
          <w:sz w:val="24"/>
          <w:szCs w:val="24"/>
        </w:rPr>
        <w:lastRenderedPageBreak/>
        <w:t>Такое развитие событий кажется нам одновременно и непривычным (обычно при нетто-оттоке капиталов фондовые индексы не растут), и наиболее правдоподобным, имея в виду перспективу до конца октября. «Проверенная временем» устойчивость цен на нефть обеспечит традиционный интерес к бумагам, прежде всего, энергетического сектора.</w:t>
      </w:r>
    </w:p>
    <w:p w:rsidR="001F41C8" w:rsidRPr="001F41C8" w:rsidRDefault="001F41C8" w:rsidP="001F41C8">
      <w:pPr>
        <w:jc w:val="both"/>
        <w:rPr>
          <w:rFonts w:ascii="Times New Roman" w:hAnsi="Times New Roman"/>
          <w:sz w:val="24"/>
          <w:szCs w:val="24"/>
        </w:rPr>
      </w:pPr>
    </w:p>
    <w:p w:rsidR="001F41C8" w:rsidRPr="001F41C8" w:rsidRDefault="001F41C8" w:rsidP="001F41C8">
      <w:pPr>
        <w:jc w:val="both"/>
        <w:rPr>
          <w:rFonts w:ascii="Times New Roman" w:eastAsia="Times New Roman" w:hAnsi="Times New Roman"/>
          <w:b/>
          <w:bCs/>
          <w:color w:val="4F81BD"/>
          <w:sz w:val="24"/>
          <w:szCs w:val="24"/>
        </w:rPr>
      </w:pPr>
      <w:r w:rsidRPr="001F41C8">
        <w:rPr>
          <w:rFonts w:ascii="Times New Roman" w:eastAsia="Times New Roman" w:hAnsi="Times New Roman"/>
          <w:b/>
          <w:bCs/>
          <w:color w:val="4F81BD"/>
          <w:sz w:val="24"/>
          <w:szCs w:val="24"/>
        </w:rPr>
        <w:t xml:space="preserve">Календарь событий на предстоящую неделю </w:t>
      </w:r>
    </w:p>
    <w:p w:rsidR="001F41C8" w:rsidRPr="001F41C8" w:rsidRDefault="001F41C8" w:rsidP="001F41C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41C8">
        <w:rPr>
          <w:rFonts w:ascii="Times New Roman" w:hAnsi="Times New Roman"/>
          <w:color w:val="000000" w:themeColor="text1"/>
          <w:sz w:val="24"/>
          <w:szCs w:val="24"/>
        </w:rPr>
        <w:t xml:space="preserve">На текущей неделе события в Европе и в США поделят между собой пальму первенства по значимости. Эксперты и деловые СМИ всё чаще говорят о надвигающейся «второй волне» и в этой связи строят «модные параллели» с событиями весны-осени 2008 г. На самом деле, в отличие от событий 3-летней давности, мы не видим на рынках самой главное предпосылки их краха – наличия легко распознаваемого «пузыря». Если снижение и будет иметь место, то «посадки» будут очень мягкими и далеко не во всех регионах мира, так как спрос на товары ширпотреба растёт не только в бурно растущих развивающихся экономиках, но даже в США! </w:t>
      </w:r>
    </w:p>
    <w:p w:rsidR="001F41C8" w:rsidRPr="001F41C8" w:rsidRDefault="001F41C8" w:rsidP="001F41C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41C8">
        <w:rPr>
          <w:rFonts w:ascii="Times New Roman" w:hAnsi="Times New Roman"/>
          <w:color w:val="000000" w:themeColor="text1"/>
          <w:sz w:val="24"/>
          <w:szCs w:val="24"/>
        </w:rPr>
        <w:t>На этой неделе самыми главными статистическими релизами, на наш взгляд, будут:</w:t>
      </w:r>
    </w:p>
    <w:p w:rsidR="001F41C8" w:rsidRPr="001F41C8" w:rsidRDefault="001F41C8" w:rsidP="001F41C8">
      <w:pPr>
        <w:pStyle w:val="a4"/>
        <w:spacing w:before="0" w:after="0"/>
        <w:ind w:left="720" w:hanging="360"/>
        <w:rPr>
          <w:color w:val="000000" w:themeColor="text1"/>
          <w:szCs w:val="24"/>
        </w:rPr>
      </w:pPr>
      <w:r w:rsidRPr="001F41C8">
        <w:rPr>
          <w:rFonts w:eastAsia="Symbol"/>
          <w:color w:val="000000" w:themeColor="text1"/>
          <w:szCs w:val="24"/>
        </w:rPr>
        <w:t>·     </w:t>
      </w:r>
      <w:r w:rsidRPr="001F41C8">
        <w:rPr>
          <w:b/>
          <w:bCs/>
          <w:color w:val="000000" w:themeColor="text1"/>
          <w:szCs w:val="24"/>
        </w:rPr>
        <w:t>Данные по созданию рабочих мест, заявкам на пособия по безработице и уровню безработицы в истекшем месяце в США</w:t>
      </w:r>
      <w:r w:rsidRPr="001F41C8">
        <w:rPr>
          <w:color w:val="000000" w:themeColor="text1"/>
          <w:szCs w:val="24"/>
        </w:rPr>
        <w:t xml:space="preserve">. Неделя будет насыщена на редкость полной подборкой данных, достаточной, чтобы дать окончательный «вердикт» этой важной составляющей американской экономики. Хотя на предыдущей неделе кол-во первичных заявок на пособия по безработице несколько отошло вниз от психологически значимой отметки 400 тыс., мы не верим, что речь может идти о формировании полноценного нисходящего тренда. ФРС культивирует дефляционную среду в США, при которой у американского бизнеса становится всё меньше стимулов расширять свои внутренние продажи, </w:t>
      </w:r>
      <w:proofErr w:type="gramStart"/>
      <w:r w:rsidRPr="001F41C8">
        <w:rPr>
          <w:color w:val="000000" w:themeColor="text1"/>
          <w:szCs w:val="24"/>
        </w:rPr>
        <w:t>а</w:t>
      </w:r>
      <w:proofErr w:type="gramEnd"/>
      <w:r w:rsidRPr="001F41C8">
        <w:rPr>
          <w:color w:val="000000" w:themeColor="text1"/>
          <w:szCs w:val="24"/>
        </w:rPr>
        <w:t xml:space="preserve"> следовательно – и нанимать новый персонал.</w:t>
      </w:r>
    </w:p>
    <w:p w:rsidR="001F41C8" w:rsidRPr="001F41C8" w:rsidRDefault="001F41C8" w:rsidP="001F41C8">
      <w:pPr>
        <w:pStyle w:val="a4"/>
        <w:spacing w:before="0" w:after="0"/>
        <w:ind w:left="720" w:hanging="360"/>
        <w:rPr>
          <w:color w:val="000000" w:themeColor="text1"/>
          <w:szCs w:val="24"/>
        </w:rPr>
      </w:pPr>
      <w:r w:rsidRPr="001F41C8">
        <w:rPr>
          <w:rFonts w:eastAsia="Symbol"/>
          <w:color w:val="000000" w:themeColor="text1"/>
          <w:szCs w:val="24"/>
        </w:rPr>
        <w:t>·</w:t>
      </w:r>
      <w:r w:rsidR="00870B24">
        <w:rPr>
          <w:rFonts w:eastAsia="Symbol"/>
          <w:color w:val="000000" w:themeColor="text1"/>
          <w:szCs w:val="24"/>
        </w:rPr>
        <w:t>     </w:t>
      </w:r>
      <w:r w:rsidRPr="001F41C8">
        <w:rPr>
          <w:color w:val="000000" w:themeColor="text1"/>
          <w:szCs w:val="24"/>
        </w:rPr>
        <w:t xml:space="preserve">Мы будем пристально следить за изменением </w:t>
      </w:r>
      <w:r w:rsidRPr="001F41C8">
        <w:rPr>
          <w:b/>
          <w:bCs/>
          <w:color w:val="000000" w:themeColor="text1"/>
          <w:szCs w:val="24"/>
        </w:rPr>
        <w:t>стратегических запасов нефти и нефтепродуктов в хранилищах США</w:t>
      </w:r>
      <w:r w:rsidRPr="001F41C8">
        <w:rPr>
          <w:color w:val="000000" w:themeColor="text1"/>
          <w:szCs w:val="24"/>
        </w:rPr>
        <w:t>. Предыдущий их неожиданный всплеск роста был вызва</w:t>
      </w:r>
      <w:r w:rsidR="00870B24">
        <w:rPr>
          <w:color w:val="000000" w:themeColor="text1"/>
          <w:szCs w:val="24"/>
        </w:rPr>
        <w:t>н</w:t>
      </w:r>
      <w:r w:rsidRPr="001F41C8">
        <w:rPr>
          <w:color w:val="000000" w:themeColor="text1"/>
          <w:szCs w:val="24"/>
        </w:rPr>
        <w:t>, как оказалось, преимущественно разовым технологическим фактором, поэтому мы не ожидаем увидеть в этот раз столь же значительной прибавки «стратегических баррелей», которая могла бы оказать дополнительное давление на нефтяные котировки.</w:t>
      </w:r>
    </w:p>
    <w:p w:rsidR="001F41C8" w:rsidRPr="001F41C8" w:rsidRDefault="001F41C8" w:rsidP="001F41C8">
      <w:pPr>
        <w:pStyle w:val="a4"/>
        <w:spacing w:before="0" w:after="0"/>
        <w:ind w:left="720" w:hanging="360"/>
        <w:rPr>
          <w:color w:val="000000" w:themeColor="text1"/>
          <w:szCs w:val="24"/>
        </w:rPr>
      </w:pPr>
      <w:r w:rsidRPr="001F41C8">
        <w:rPr>
          <w:rFonts w:eastAsia="Symbol"/>
          <w:color w:val="000000" w:themeColor="text1"/>
          <w:szCs w:val="24"/>
        </w:rPr>
        <w:t>·</w:t>
      </w:r>
      <w:r w:rsidR="00870B24">
        <w:rPr>
          <w:rFonts w:eastAsia="Symbol"/>
          <w:color w:val="000000" w:themeColor="text1"/>
          <w:szCs w:val="24"/>
        </w:rPr>
        <w:t>     </w:t>
      </w:r>
      <w:r w:rsidRPr="001F41C8">
        <w:rPr>
          <w:color w:val="000000" w:themeColor="text1"/>
          <w:szCs w:val="24"/>
        </w:rPr>
        <w:t xml:space="preserve">Что касается событий в Европе, то, помимо традиционного негативного новостного потока из Греции, дополнительное давление на евро могут оказать разочаровывающие данные по </w:t>
      </w:r>
      <w:r w:rsidRPr="001F41C8">
        <w:rPr>
          <w:b/>
          <w:bCs/>
          <w:color w:val="000000" w:themeColor="text1"/>
          <w:szCs w:val="24"/>
        </w:rPr>
        <w:t>розничным продажам в еврозоне в августе</w:t>
      </w:r>
      <w:r w:rsidRPr="001F41C8">
        <w:rPr>
          <w:color w:val="000000" w:themeColor="text1"/>
          <w:szCs w:val="24"/>
        </w:rPr>
        <w:t>, а также</w:t>
      </w:r>
    </w:p>
    <w:p w:rsidR="001F41C8" w:rsidRPr="001F41C8" w:rsidRDefault="001F41C8" w:rsidP="001F41C8">
      <w:pPr>
        <w:pStyle w:val="a4"/>
        <w:spacing w:before="0" w:after="0"/>
        <w:ind w:left="720" w:hanging="360"/>
        <w:rPr>
          <w:color w:val="000000" w:themeColor="text1"/>
          <w:szCs w:val="24"/>
        </w:rPr>
      </w:pPr>
      <w:proofErr w:type="gramStart"/>
      <w:r w:rsidRPr="001F41C8">
        <w:rPr>
          <w:rFonts w:eastAsia="Symbol"/>
          <w:color w:val="000000" w:themeColor="text1"/>
          <w:szCs w:val="24"/>
        </w:rPr>
        <w:t>·</w:t>
      </w:r>
      <w:r w:rsidR="00870B24">
        <w:rPr>
          <w:rFonts w:eastAsia="Symbol"/>
          <w:color w:val="000000" w:themeColor="text1"/>
          <w:szCs w:val="24"/>
        </w:rPr>
        <w:t>      </w:t>
      </w:r>
      <w:r w:rsidRPr="001F41C8">
        <w:rPr>
          <w:color w:val="000000" w:themeColor="text1"/>
          <w:szCs w:val="24"/>
        </w:rPr>
        <w:t xml:space="preserve">Тот факт, что </w:t>
      </w:r>
      <w:r w:rsidRPr="001F41C8">
        <w:rPr>
          <w:b/>
          <w:bCs/>
          <w:color w:val="000000" w:themeColor="text1"/>
          <w:szCs w:val="24"/>
        </w:rPr>
        <w:t>ЕЦБ</w:t>
      </w:r>
      <w:r w:rsidRPr="001F41C8">
        <w:rPr>
          <w:color w:val="000000" w:themeColor="text1"/>
          <w:szCs w:val="24"/>
        </w:rPr>
        <w:t xml:space="preserve"> наверняка воздержится от активный действий в отношении своей монетарной политики, </w:t>
      </w:r>
      <w:r w:rsidRPr="001F41C8">
        <w:rPr>
          <w:b/>
          <w:bCs/>
          <w:color w:val="000000" w:themeColor="text1"/>
          <w:szCs w:val="24"/>
        </w:rPr>
        <w:t>оставив учётную ставку на прежнем уровне</w:t>
      </w:r>
      <w:proofErr w:type="gramEnd"/>
    </w:p>
    <w:p w:rsidR="008717E0" w:rsidRPr="001F41C8" w:rsidRDefault="008717E0" w:rsidP="001F41C8">
      <w:pPr>
        <w:rPr>
          <w:rFonts w:ascii="Times New Roman" w:hAnsi="Times New Roman"/>
          <w:sz w:val="24"/>
          <w:szCs w:val="24"/>
        </w:rPr>
      </w:pPr>
    </w:p>
    <w:sectPr w:rsidR="008717E0" w:rsidRPr="001F41C8" w:rsidSect="001B7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FD6204"/>
    <w:rsid w:val="001B788C"/>
    <w:rsid w:val="001F41C8"/>
    <w:rsid w:val="00870B24"/>
    <w:rsid w:val="008717E0"/>
    <w:rsid w:val="00885AFD"/>
    <w:rsid w:val="00913F26"/>
    <w:rsid w:val="00962381"/>
    <w:rsid w:val="00A45213"/>
    <w:rsid w:val="00B71992"/>
    <w:rsid w:val="00F2107B"/>
    <w:rsid w:val="00F75E78"/>
    <w:rsid w:val="00FD6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204"/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next w:val="a"/>
    <w:uiPriority w:val="1"/>
    <w:qFormat/>
    <w:rsid w:val="00962381"/>
    <w:pPr>
      <w:spacing w:before="120" w:after="120" w:line="240" w:lineRule="auto"/>
      <w:jc w:val="both"/>
    </w:pPr>
    <w:rPr>
      <w:rFonts w:ascii="Times New Roman" w:hAnsi="Times New Roman" w:cs="Times New Roman"/>
      <w:color w:val="000000"/>
      <w:sz w:val="24"/>
      <w:szCs w:val="18"/>
      <w:lang w:eastAsia="ru-RU"/>
    </w:rPr>
  </w:style>
  <w:style w:type="paragraph" w:styleId="a4">
    <w:name w:val="List Paragraph"/>
    <w:aliases w:val="Мой"/>
    <w:basedOn w:val="a"/>
    <w:uiPriority w:val="34"/>
    <w:qFormat/>
    <w:rsid w:val="00962381"/>
    <w:pPr>
      <w:spacing w:before="120" w:after="120" w:line="240" w:lineRule="auto"/>
      <w:contextualSpacing/>
      <w:jc w:val="both"/>
    </w:pPr>
    <w:rPr>
      <w:rFonts w:ascii="Times New Roman" w:hAnsi="Times New Roman"/>
      <w:color w:val="000000"/>
      <w:sz w:val="24"/>
      <w:szCs w:val="18"/>
    </w:rPr>
  </w:style>
  <w:style w:type="paragraph" w:styleId="a5">
    <w:name w:val="Body Text"/>
    <w:basedOn w:val="a"/>
    <w:link w:val="a6"/>
    <w:uiPriority w:val="99"/>
    <w:semiHidden/>
    <w:unhideWhenUsed/>
    <w:rsid w:val="00962381"/>
    <w:pPr>
      <w:spacing w:after="120"/>
    </w:pPr>
    <w:rPr>
      <w:rFonts w:asciiTheme="minorHAnsi" w:hAnsiTheme="minorHAnsi" w:cstheme="minorBidi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9623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4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ovoronina</dc:creator>
  <cp:keywords/>
  <dc:description/>
  <cp:lastModifiedBy>ovoronina</cp:lastModifiedBy>
  <cp:revision>3</cp:revision>
  <dcterms:created xsi:type="dcterms:W3CDTF">2011-10-03T12:27:00Z</dcterms:created>
  <dcterms:modified xsi:type="dcterms:W3CDTF">2011-10-03T12:28:00Z</dcterms:modified>
</cp:coreProperties>
</file>