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5F" w:rsidRPr="000A615F" w:rsidRDefault="000A615F" w:rsidP="000A615F">
      <w:r w:rsidRPr="000A615F">
        <w:t xml:space="preserve">Прошедшая неделя оказалась весьма неудачной для российских акций и курса рубля. Индекс РТС откатился ниже 1300, потеряв за неделю 3,7%, и достиг минимального значения с середины прошлого года. Потери индекса ММВБ несколько ниже (-2,9%) за счет эффекта ослабления рубля, который в конце февраля обновил исторические минимумы к доллару и к </w:t>
      </w:r>
      <w:proofErr w:type="spellStart"/>
      <w:r w:rsidRPr="000A615F">
        <w:t>бивалютной</w:t>
      </w:r>
      <w:proofErr w:type="spellEnd"/>
      <w:r w:rsidRPr="000A615F">
        <w:t xml:space="preserve"> корзине. </w:t>
      </w:r>
      <w:proofErr w:type="gramStart"/>
      <w:r w:rsidRPr="000A615F">
        <w:t xml:space="preserve">С одной стороны, инвесторы по-прежнему настороженно относятся к развивающимся рынкам – по данным EPFR, отток из фондов EM за неделю, завершившуюся 26 февраля, составил $3 млрд, отток из российских акций – $111 млн., однако это не помешало </w:t>
      </w:r>
      <w:proofErr w:type="spellStart"/>
      <w:r w:rsidRPr="000A615F">
        <w:t>бенчмарку</w:t>
      </w:r>
      <w:proofErr w:type="spellEnd"/>
      <w:r w:rsidRPr="000A615F">
        <w:t xml:space="preserve"> MSCI EM вырасти за неделю на 0,8%, а за февраль в целом – на 3,2%.  Гораздо более негативное значение для российского рынка имеет сейчас нестабильная</w:t>
      </w:r>
      <w:proofErr w:type="gramEnd"/>
      <w:r w:rsidRPr="000A615F">
        <w:t xml:space="preserve"> политическая ситуация на Украине и события в Крыму, в результате которых власть на полуострове фактически перешла к политикам, отказавшимся признавать легитимность нового руководства Украины, переподчинившим себе местные силовые структуры и обратившимся за помощью к российским властям. Риски втягивания России в региональный военный конфликт и противостояние с Западом привели к масштабным распродажам российских акций в четверг, в пятницу ситуация на рынке несколько стабилизировалась.</w:t>
      </w:r>
    </w:p>
    <w:p w:rsidR="000A615F" w:rsidRPr="000A615F" w:rsidRDefault="000A615F" w:rsidP="000A615F"/>
    <w:p w:rsidR="000A615F" w:rsidRPr="000A615F" w:rsidRDefault="000A615F" w:rsidP="000A615F">
      <w:r w:rsidRPr="000A615F">
        <w:t xml:space="preserve">Главной жертвой распродаж в пятницу стали акции </w:t>
      </w:r>
      <w:proofErr w:type="spellStart"/>
      <w:r w:rsidRPr="000A615F">
        <w:t>Мечел</w:t>
      </w:r>
      <w:proofErr w:type="spellEnd"/>
      <w:r w:rsidRPr="000A615F">
        <w:t xml:space="preserve">, обвал которых перед временной приостановкой торгов превышал 40% (для обыкновенных акций), однако после возобновления торгов часть потерь </w:t>
      </w:r>
      <w:proofErr w:type="gramStart"/>
      <w:r w:rsidRPr="000A615F">
        <w:t>была отыграна и общее падение составило</w:t>
      </w:r>
      <w:proofErr w:type="gramEnd"/>
      <w:r w:rsidRPr="000A615F">
        <w:t xml:space="preserve"> 24,5% для обыкновенных акций и 17% - для привилегированных. Столь драматический обвал акций происходил в отсутствие новостного фона, что именно послужило триггером распродаж не совсем понятно (в последний раз сопоставимое падение было в ноябре 2013 г., во время переговоров компании с кредиторами по </w:t>
      </w:r>
      <w:proofErr w:type="spellStart"/>
      <w:r w:rsidRPr="000A615F">
        <w:t>ковенантам</w:t>
      </w:r>
      <w:proofErr w:type="spellEnd"/>
      <w:r w:rsidRPr="000A615F">
        <w:t xml:space="preserve">). В целом давление на акции  </w:t>
      </w:r>
      <w:proofErr w:type="spellStart"/>
      <w:r w:rsidRPr="000A615F">
        <w:t>Мечела</w:t>
      </w:r>
      <w:proofErr w:type="spellEnd"/>
      <w:r w:rsidRPr="000A615F">
        <w:t xml:space="preserve"> оказывает чрезвычайно высокий уровень </w:t>
      </w:r>
      <w:proofErr w:type="spellStart"/>
      <w:r w:rsidRPr="000A615F">
        <w:t>закредитованности</w:t>
      </w:r>
      <w:proofErr w:type="spellEnd"/>
      <w:r w:rsidRPr="000A615F">
        <w:t xml:space="preserve"> компании и наличие в залоге у банков почти 60% (59,4%) ее голосующих акций. </w:t>
      </w:r>
    </w:p>
    <w:p w:rsidR="000A615F" w:rsidRPr="000A615F" w:rsidRDefault="000A615F" w:rsidP="000A615F"/>
    <w:p w:rsidR="000A615F" w:rsidRPr="000A615F" w:rsidRDefault="000A615F" w:rsidP="000A615F">
      <w:proofErr w:type="gramStart"/>
      <w:r w:rsidRPr="000A615F">
        <w:t xml:space="preserve">В выходные политическая обстановка вокруг Украины накалилась до предела – президент РФ В. Путин обратился к Совету Федерации с просьбой разрешить использование российских вооруженных сил на территории Украины «до нормализации общественно-политической ситуации в этой стране» и в связи с «угрозой жизни граждан Российской Федерации», в т.ч. военнослужащих - и получил единогласное одобрение </w:t>
      </w:r>
      <w:proofErr w:type="spellStart"/>
      <w:r w:rsidRPr="000A615F">
        <w:t>Совфеда</w:t>
      </w:r>
      <w:proofErr w:type="spellEnd"/>
      <w:r w:rsidRPr="000A615F">
        <w:t>.</w:t>
      </w:r>
      <w:proofErr w:type="gramEnd"/>
      <w:r w:rsidRPr="000A615F">
        <w:t xml:space="preserve"> В ответ президент США Б. </w:t>
      </w:r>
      <w:proofErr w:type="spellStart"/>
      <w:r w:rsidRPr="000A615F">
        <w:t>Обама</w:t>
      </w:r>
      <w:proofErr w:type="spellEnd"/>
      <w:r w:rsidRPr="000A615F">
        <w:t xml:space="preserve"> предостерег Россию от вооруженного вторжения на территорию Украины, угрожая в противном случае политической и экономической изоляцией. С точки зрения рынков процесс развивается по негативному сценарию. Хотя решение о начале военной операции российским руководством не принято, Запад уже воспринял действия России как подготовку к вторжению на территорию суверенного государства. Возрастают риски непосредственного военного конфликта России и Украины  и резкого обострения отношений России с США и ЕС. Это может привести к дальнейшим распродажам российских активов. </w:t>
      </w:r>
      <w:proofErr w:type="gramStart"/>
      <w:r w:rsidRPr="000A615F">
        <w:t xml:space="preserve">Так,  военная операция России по «принуждению к миру» Грузии в августе 2008 г. привела к падению индекса РТС за 20 дней (с 7 по 26 августа) на 14%.  На открытие рынка ожидаем заметного снижения рубля и российских фондовых индексов, дальнейшее развитие событий на украинском направлении сейчас будет основным фактором для российского рынка. </w:t>
      </w:r>
      <w:proofErr w:type="gramEnd"/>
    </w:p>
    <w:p w:rsidR="000A615F" w:rsidRPr="000A615F" w:rsidRDefault="000A615F" w:rsidP="000A615F"/>
    <w:p w:rsidR="000A615F" w:rsidRPr="000A615F" w:rsidRDefault="000A615F" w:rsidP="000A615F">
      <w:r w:rsidRPr="000A615F">
        <w:lastRenderedPageBreak/>
        <w:t xml:space="preserve">Между тем, S&amp;P 500 обновил в конце недели очередной исторический максимум. </w:t>
      </w:r>
      <w:proofErr w:type="gramStart"/>
      <w:r w:rsidRPr="000A615F">
        <w:t xml:space="preserve">Поддержку как американскому, так и развивающимся рынкам оказало выступление председателя ФРС Дж. </w:t>
      </w:r>
      <w:proofErr w:type="spellStart"/>
      <w:r w:rsidRPr="000A615F">
        <w:t>Йеллен</w:t>
      </w:r>
      <w:proofErr w:type="spellEnd"/>
      <w:r w:rsidRPr="000A615F">
        <w:t xml:space="preserve"> в Сенате США, где она подтвердила курс на постепенное сокращение QE3 и вероятное ее полное прекращение осенью, однако отметила, что планы могут быть скорректированы, если существенно изменятся экономические прогнозы (по ее мнению, в ближайшие недели ФРС предстоит разобраться, в какой мере слабые экономические данные начала года объясняются</w:t>
      </w:r>
      <w:proofErr w:type="gramEnd"/>
      <w:r w:rsidRPr="000A615F">
        <w:t xml:space="preserve"> влиянием холодной погоды, а в какой – фундаментальными факторами). </w:t>
      </w:r>
      <w:proofErr w:type="gramStart"/>
      <w:r w:rsidRPr="000A615F">
        <w:t xml:space="preserve">Вышедшая в пятницу американская статистика была смешанной – вторая оценка ВВП за 4Q пересмотрена с 3,2% </w:t>
      </w:r>
      <w:proofErr w:type="spellStart"/>
      <w:r w:rsidRPr="000A615F">
        <w:t>QoQ</w:t>
      </w:r>
      <w:proofErr w:type="spellEnd"/>
      <w:r w:rsidRPr="000A615F">
        <w:t xml:space="preserve"> до 2,4% (при консенсусе 2,5%), однако улучшились февральские показатели производственной активности (</w:t>
      </w:r>
      <w:proofErr w:type="spellStart"/>
      <w:r w:rsidRPr="000A615F">
        <w:t>Chicago</w:t>
      </w:r>
      <w:proofErr w:type="spellEnd"/>
      <w:r w:rsidRPr="000A615F">
        <w:t xml:space="preserve"> PMI неожиданно повысился с 59,6 до 59,8, ожидалось снижение до 56,4) и потребительского доверия (окончательное значение индекса </w:t>
      </w:r>
      <w:proofErr w:type="spellStart"/>
      <w:r w:rsidRPr="000A615F">
        <w:t>Мичиганского</w:t>
      </w:r>
      <w:proofErr w:type="spellEnd"/>
      <w:r w:rsidRPr="000A615F">
        <w:t xml:space="preserve"> университета за февраль увеличилось с 81,2 до 81,6, консенсус не предполагал изменений). </w:t>
      </w:r>
      <w:proofErr w:type="gramEnd"/>
    </w:p>
    <w:p w:rsidR="000A615F" w:rsidRPr="000A615F" w:rsidRDefault="000A615F" w:rsidP="000A615F"/>
    <w:p w:rsidR="000A615F" w:rsidRPr="000A615F" w:rsidRDefault="000A615F" w:rsidP="000A615F">
      <w:r w:rsidRPr="000A615F">
        <w:t xml:space="preserve">В субботу Национальное бюро статистики Китая опубликовало показатель PMI Китая за февраль, подтвердивший замедление темпов роста производственной активности до минимального значения за 8 мес. (50,2 против 50,5 в январе). Альтернативный индекс деловой активности в производственной сфере Китая от HSBC находится в зоне спада и опустился до 7-месячного минимума 48,5 в феврале, что все же несколько выше предварительного значения48,3. </w:t>
      </w:r>
      <w:proofErr w:type="gramStart"/>
      <w:r w:rsidRPr="000A615F">
        <w:t xml:space="preserve">На прошлой неделе беспокойство инвесторов вызвало неожиданное ослабление курса юаня к доллару на 0,9% до минимума за последние 10 мес. на фоне спекуляций о вероятном расширении валютного коридора со стороны Народного Банка Китая в этом году с 1% до 2%, что должно увеличить </w:t>
      </w:r>
      <w:proofErr w:type="spellStart"/>
      <w:r w:rsidRPr="000A615F">
        <w:t>волатильность</w:t>
      </w:r>
      <w:proofErr w:type="spellEnd"/>
      <w:r w:rsidRPr="000A615F">
        <w:t xml:space="preserve"> курса и может привести к принудительному закрытию маржинальных позиций в производных инструментах, открывавшихся инвесторами в расчете</w:t>
      </w:r>
      <w:proofErr w:type="gramEnd"/>
      <w:r w:rsidRPr="000A615F">
        <w:t xml:space="preserve"> на укрепление китайской валюты. Хотя в перспективе увеличение гибкости юаня будет способствовать его трансформации в мировую резервную валюту, сейчас на фоне замедления роста китайской экономики и большого объема проблемных долгов многие опасаются, что  дестабилизация локального финансового рынка может стать триггером кредитного кризиса.</w:t>
      </w:r>
    </w:p>
    <w:p w:rsidR="000A615F" w:rsidRPr="000A615F" w:rsidRDefault="000A615F" w:rsidP="000A615F"/>
    <w:p w:rsidR="000A615F" w:rsidRPr="000A615F" w:rsidRDefault="000A615F" w:rsidP="000A615F">
      <w:r w:rsidRPr="000A615F">
        <w:t xml:space="preserve">Сегодня выйдет значительный блок данных по американской экономике – персональные доходы и расходы, индекс производственной активности (ISM </w:t>
      </w:r>
      <w:proofErr w:type="spellStart"/>
      <w:r w:rsidRPr="000A615F">
        <w:t>Manufacturing</w:t>
      </w:r>
      <w:proofErr w:type="spellEnd"/>
      <w:r w:rsidRPr="000A615F">
        <w:t xml:space="preserve">), расходы на строительство. Также будет опубликован индекс производственной активности в еврозоне. Из российских событий – Газпром проводит День Инвестора (в Лондоне), состоится заседание совета директоров </w:t>
      </w:r>
      <w:proofErr w:type="spellStart"/>
      <w:r w:rsidRPr="000A615F">
        <w:t>Новатэка</w:t>
      </w:r>
      <w:proofErr w:type="spellEnd"/>
      <w:r w:rsidRPr="000A615F">
        <w:t xml:space="preserve"> (ожидается принятие рекомендаций по дивидендам), банковская группа TCS (</w:t>
      </w:r>
      <w:proofErr w:type="spellStart"/>
      <w:r w:rsidRPr="000A615F">
        <w:t>Тиньков</w:t>
      </w:r>
      <w:proofErr w:type="spellEnd"/>
      <w:r w:rsidRPr="000A615F">
        <w:t xml:space="preserve"> Кредитные Системы) опубликует финансовые результаты за 2013 г. по МСФО. </w:t>
      </w:r>
    </w:p>
    <w:p w:rsidR="000A615F" w:rsidRPr="000A615F" w:rsidRDefault="000A615F" w:rsidP="000A615F"/>
    <w:p w:rsidR="000A615F" w:rsidRPr="000A615F" w:rsidRDefault="000A615F" w:rsidP="000A615F">
      <w:proofErr w:type="gramStart"/>
      <w:r w:rsidRPr="000A615F">
        <w:t xml:space="preserve">Основные внешние события на этой неделе – отчет по рынку труда США за февраль (7 марта, консенсус-прогноз предполагает прирост рабочих мест на 150К против 113К в январе и стабилизацию безработицы на уровне 6,6%) и заседание ЕЦБ по процентным ставкам (6 марта, большинство участников рынка не ожидает в этот раз изменений, однако в перспективе от ЕЦБ ожидают смягчения денежной политики). </w:t>
      </w:r>
      <w:proofErr w:type="gramEnd"/>
    </w:p>
    <w:p w:rsidR="000A615F" w:rsidRPr="000A615F" w:rsidRDefault="000A615F" w:rsidP="000A615F"/>
    <w:p w:rsidR="000A615F" w:rsidRDefault="000A615F" w:rsidP="000A615F">
      <w:r w:rsidRPr="000A615F">
        <w:lastRenderedPageBreak/>
        <w:t xml:space="preserve">Российские корпоративные события недели – Газпром (второй День Инвестора в Нью-Йорке, 5 марта). Опубликуют финансовые результаты за 2013 г. по МСФО: Мегафон (5 марта), </w:t>
      </w:r>
      <w:proofErr w:type="spellStart"/>
      <w:r w:rsidRPr="000A615F">
        <w:t>Vimpelcom</w:t>
      </w:r>
      <w:proofErr w:type="spellEnd"/>
      <w:r w:rsidRPr="000A615F">
        <w:t xml:space="preserve">  и </w:t>
      </w:r>
      <w:proofErr w:type="spellStart"/>
      <w:r w:rsidRPr="000A615F">
        <w:t>Энел</w:t>
      </w:r>
      <w:proofErr w:type="spellEnd"/>
      <w:r w:rsidRPr="000A615F">
        <w:t xml:space="preserve"> ОГК-5 (6 марта), </w:t>
      </w:r>
      <w:proofErr w:type="spellStart"/>
      <w:r w:rsidRPr="000A615F">
        <w:t>Мосэнерго</w:t>
      </w:r>
      <w:proofErr w:type="spellEnd"/>
      <w:r w:rsidRPr="000A615F">
        <w:t xml:space="preserve"> (7 марта). Сбербанк раскроет показатели за февраль 2014 г (РСБУ) 7 марта.</w:t>
      </w:r>
    </w:p>
    <w:p w:rsidR="000A615F" w:rsidRDefault="000A615F" w:rsidP="000A615F"/>
    <w:p w:rsidR="000A615F" w:rsidRDefault="000A615F" w:rsidP="000A615F"/>
    <w:p w:rsidR="000A615F" w:rsidRPr="000A615F" w:rsidRDefault="000A615F" w:rsidP="000A615F">
      <w:r w:rsidRPr="000A615F">
        <w:t xml:space="preserve">Ольга Беленькая, </w:t>
      </w:r>
      <w:r w:rsidRPr="000A615F">
        <w:br/>
        <w:t>зам. руководителя аналитического департамент</w:t>
      </w:r>
      <w:proofErr w:type="gramStart"/>
      <w:r w:rsidRPr="000A615F">
        <w:t xml:space="preserve">а </w:t>
      </w:r>
      <w:r w:rsidRPr="000A615F">
        <w:br/>
        <w:t>ООО</w:t>
      </w:r>
      <w:proofErr w:type="gramEnd"/>
      <w:r w:rsidRPr="000A615F">
        <w:t xml:space="preserve"> "СОВЛИНК" </w:t>
      </w:r>
    </w:p>
    <w:sectPr w:rsidR="000A615F" w:rsidRPr="000A615F" w:rsidSect="0094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15F"/>
    <w:rsid w:val="000A615F"/>
    <w:rsid w:val="0094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1016</Words>
  <Characters>5795</Characters>
  <Application>Microsoft Office Word</Application>
  <DocSecurity>0</DocSecurity>
  <Lines>48</Lines>
  <Paragraphs>13</Paragraphs>
  <ScaleCrop>false</ScaleCrop>
  <Company>Finam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2014-03-03T06:22:00Z</dcterms:created>
  <dcterms:modified xsi:type="dcterms:W3CDTF">2014-03-03T06:28:00Z</dcterms:modified>
</cp:coreProperties>
</file>