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31"/>
        <w:gridCol w:w="6"/>
      </w:tblGrid>
      <w:tr w:rsidR="00CB6BAE" w:rsidTr="00CB6BA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BAE" w:rsidRDefault="00CB6BAE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31"/>
            </w:tblGrid>
            <w:tr w:rsidR="00CB6B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BAE" w:rsidRDefault="00CB6BAE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68135" cy="3002280"/>
                        <wp:effectExtent l="19050" t="0" r="0" b="0"/>
                        <wp:docPr id="1" name="Рисунок 8" descr="cid:image001.jpg@01CEEF8A.6E988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cid:image001.jpg@01CEEF8A.6E988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8135" cy="3002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BAE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0"/>
                    <w:gridCol w:w="9755"/>
                    <w:gridCol w:w="6"/>
                  </w:tblGrid>
                  <w:tr w:rsidR="00CB6BAE">
                    <w:trPr>
                      <w:trHeight w:val="150"/>
                      <w:tblCellSpacing w:w="0" w:type="dxa"/>
                    </w:trPr>
                    <w:tc>
                      <w:tcPr>
                        <w:tcW w:w="768" w:type="dxa"/>
                        <w:shd w:val="clear" w:color="auto" w:fill="FFFFFF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726" w:type="dxa"/>
                        <w:shd w:val="clear" w:color="auto" w:fill="FFFFFF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CB6BAE">
                    <w:trPr>
                      <w:trHeight w:val="420"/>
                      <w:tblCellSpacing w:w="0" w:type="dxa"/>
                    </w:trPr>
                    <w:tc>
                      <w:tcPr>
                        <w:tcW w:w="768" w:type="dxa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9726" w:type="dxa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CB6BAE">
                    <w:trPr>
                      <w:tblCellSpacing w:w="0" w:type="dxa"/>
                    </w:trPr>
                    <w:tc>
                      <w:tcPr>
                        <w:tcW w:w="768" w:type="dxa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72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155"/>
                          <w:gridCol w:w="600"/>
                        </w:tblGrid>
                        <w:tr w:rsidR="00CB6B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  <w:t>Рынок акций</w:t>
                              </w:r>
                            </w:p>
                            <w:p w:rsidR="00CB6BAE" w:rsidRDefault="00CB6BAE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16" descr="cid:image002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6" descr="cid:image002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B6BAE" w:rsidRPr="00CB6BAE" w:rsidRDefault="00CB6B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 xml:space="preserve">Регина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>Гирфанова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br/>
                                <w:t>портфельный управляющий УК «Альфа-Капитал»</w:t>
                              </w:r>
                            </w:p>
                            <w:p w:rsidR="00CB6BAE" w:rsidRPr="00CB6BAE" w:rsidRDefault="00CB6BAE">
                              <w:pPr>
                                <w:rPr>
                                  <w:b/>
                                  <w:bCs/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Прошлая неделя выглядела довольно слабой, как для фондового рынка, так и для российской валюты. Тем не менее, не обошлось и точек роста лидерами роста стали акции как потребительского сектора, в частности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МВидео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 и Магнит. На ожиданиях сильной отчетности инвесторы покупали Аэрофлот.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Башнефть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 на фоне подготовке к </w:t>
                              </w:r>
                              <w:r>
                                <w:rPr>
                                  <w:lang w:val="en-US" w:eastAsia="en-US"/>
                                </w:rPr>
                                <w:t>IPO</w:t>
                              </w:r>
                              <w:r w:rsidRPr="00CB6BAE">
                                <w:rPr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lang w:eastAsia="en-US"/>
                                </w:rPr>
                                <w:t xml:space="preserve">также пользуется спросом среди инвесторов. Тем не менее, весь остальной нефтегазовый сектор выглядел довольно слабо на прошлой неделе, за исключением, может быть, забытых акций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Транснефти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>, которые прибавили около 1.5%.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ТКС провел во вторник встречу с аналитиками, где рассказал о перспективах своего бизнеса. </w:t>
                              </w:r>
                              <w:proofErr w:type="gramStart"/>
                              <w:r>
                                <w:rPr>
                                  <w:lang w:eastAsia="en-US"/>
                                </w:rPr>
                                <w:t xml:space="preserve">У компании закончился «период тишины» после проведенного </w:t>
                              </w:r>
                              <w:r>
                                <w:rPr>
                                  <w:lang w:val="en-US" w:eastAsia="en-US"/>
                                </w:rPr>
                                <w:t>IPO</w:t>
                              </w:r>
                              <w:r>
                                <w:rPr>
                                  <w:lang w:eastAsia="en-US"/>
                                </w:rPr>
                                <w:t>, и компания уже может прокомментировать недавние события, связанные с «опечаткой» в законопроекте, что повлекло к драматическому падению котировок акций.</w:t>
                              </w:r>
                              <w:proofErr w:type="gramEnd"/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19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9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Владимир Брагин,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br/>
                                <w:t>директор по анализу финансовых рынков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Исторически начало зимы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совпдает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с началом благоприятного периода для российского рынка акций. В среднем за декабрь ММВБ в течение последних 5 лет прирастал на 2.7%, причем месяц он закрывал в минусе всего 1 раз - в 2011 году, который сам по себе был неудачным для рынка. Еще более благоприятным месяцем выглядит январь (+3.7% в среднем, ни одного отрицательного результата за 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прошлые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5 лет). Так что если исходить из чисто календарных факторов, то момент для входа в российский рынок сейчас удачный. 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Если смотреть на внешние факторы, такие как 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цены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на нефть и промышленные металлы, а также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макростатистику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, то препятствий для роста российского рынка почти нет. Нефть 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 w:eastAsia="en-US"/>
                                </w:rPr>
                                <w:t>Brent</w:t>
                              </w:r>
                              <w:r w:rsidRPr="00CB6BAE"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сейчас держится около 110 долларов за баррель, промышленные металлы более или менее стабильны, а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макроданные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по Китаю, США и другим странам, с одной стороны, обнадеживают с точки зрения перспектив роста экономик развивающихся стран, с другой - пока не дают повода для скорого ужесточения денежно-кредитной политики развитых стран. По крайней мере, под конец года вряд ли стоит ждать от регуляторов резких движений.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Что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касатеся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внутренних драйверов, то есть причины для беспокойства. В частности проблемы в банковской системе  РФ, которые при излишней активности ЦБ по отъему лицензий может негативно сказаться (и уже сказывается) и на рубле и на рынке. 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  <w:t>Рынок облигаций</w:t>
                              </w:r>
                            </w:p>
                            <w:p w:rsidR="00CB6BAE" w:rsidRDefault="00CB6BAE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17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7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br/>
                                <w:t>аналитик УК «Альфа-Капитал»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На прошлой неделе на рынке рублевых облигаций мы наблюдали умеренно-негативные настроения инвесторов.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Скорректировались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длинные ОФЗ, облигации серии 26207 торгуются с доходностью около 8%. Наибольшие продажи проходили в банковских сегментах второго/третьего эшелонов – это отголоски отзыва лицензии Мастер-Банка, и опасения продолжения развития данной практики с рядом других банков. 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На текущей неделе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участики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рынка будут ждать выхода в среду бежевой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кники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ФРС, а также итогов заседания ЕЦБ, которое пройдет  днем позже, и уточненных данных о ВВП США за 3 квартал. Но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сновное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внимание инвесторов будет приковано к пятничной статистике по рынку труда в США, как  индикатора того, с каким настроем  ФРС начнет следующий год. 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До конца текущего года судьбоносных решений со стороны ФРС США и ЕЦБ принято не 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lastRenderedPageBreak/>
                                <w:t>будет, но публикуемые данные однозначно будут формировать ожидания инвесторов на 1 квартал 2014 года.</w:t>
                              </w:r>
                            </w:p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По рублевым портфелям лучше придерживаться консервативного подхода: диверсификация + качество. Настоятельно рекомендуем обратить внимание на 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рублевые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ПИФы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  <w:t>, полностью отвечающие данным критериям.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eastAsia="en-US"/>
                                </w:rPr>
                                <w:t>Рынок сырьевых товаров</w:t>
                              </w:r>
                            </w:p>
                            <w:p w:rsidR="00CB6BAE" w:rsidRDefault="00CB6BAE">
                              <w:pPr>
                                <w:spacing w:after="24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5" name="Рисунок 18" descr="cid:image005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8" descr="cid:image005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B6BAE" w:rsidRDefault="00CB6B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 xml:space="preserve">Дмитрий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>Чернядьев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eastAsia="en-US"/>
                                </w:rPr>
                                <w:br/>
                                <w:t>аналитик УК «Альфа-Капитал»</w:t>
                              </w:r>
                            </w:p>
                            <w:p w:rsidR="00CB6BAE" w:rsidRP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Золото в ноябре снизилось в цене на 5.4% из-за растущих ожиданий скорого сворачивания программы скупки активов ФРС США, подкрепленных хорошими макроэкономическими данными. Ожидания сокращения </w:t>
                              </w:r>
                              <w:r>
                                <w:rPr>
                                  <w:lang w:val="en-US" w:eastAsia="en-US"/>
                                </w:rPr>
                                <w:t>QE</w:t>
                              </w:r>
                              <w:r>
                                <w:rPr>
                                  <w:lang w:eastAsia="en-US"/>
                                </w:rPr>
                                <w:t xml:space="preserve">3 вызывают рост доходностей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гособлигаций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 США. В условиях отсутствия инфляционного давления, это означает увеличение альтернативной стоимости инвестиций в золото, что снижает спрос на него. </w:t>
                              </w:r>
                              <w:proofErr w:type="gramStart"/>
                              <w:r>
                                <w:rPr>
                                  <w:lang w:eastAsia="en-US"/>
                                </w:rPr>
                                <w:t>По прежнему</w:t>
                              </w:r>
                              <w:proofErr w:type="gramEnd"/>
                              <w:r>
                                <w:rPr>
                                  <w:lang w:eastAsia="en-US"/>
                                </w:rPr>
                                <w:t xml:space="preserve"> основной механизм снижения - вывод средств из физических </w:t>
                              </w:r>
                              <w:r>
                                <w:rPr>
                                  <w:lang w:val="en-US" w:eastAsia="en-US"/>
                                </w:rPr>
                                <w:t>ETF</w:t>
                              </w:r>
                              <w:r>
                                <w:rPr>
                                  <w:lang w:eastAsia="en-US"/>
                                </w:rPr>
                                <w:t>.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Вместе с золотом снизились и металлы платиновой группы. При этом фундаментально соотношение спроса и предложения  на рынке этих металлов в ближайшие годы создает предпосылки для роста цен обоих металлов.</w:t>
                              </w: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</w:p>
                            <w:p w:rsidR="00CB6BAE" w:rsidRDefault="00CB6BAE">
                              <w:pPr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Тяжелая внутренняя ситуация в Ливии продолжает сказываться на объемах поставляемой из этой страны нефти. К концу ноября они снизились до 250 тыс.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барр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. в день, тогда как еще год назад составляли 1.4 млн.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барр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. в день. Проблемы с поставками из Ливии, а также сокращение добычи в Саудовской Аравии привели к очередному снижению добычи стран ОПЕК в ноябре. По предварительным оценкам она составила 29.64 млн.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барр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. в день - второй месяц подряд ниже квоты в 30 млн. </w:t>
                              </w:r>
                              <w:proofErr w:type="spellStart"/>
                              <w:r>
                                <w:rPr>
                                  <w:lang w:eastAsia="en-US"/>
                                </w:rPr>
                                <w:t>барр</w:t>
                              </w:r>
                              <w:proofErr w:type="spellEnd"/>
                              <w:r>
                                <w:rPr>
                                  <w:lang w:eastAsia="en-US"/>
                                </w:rPr>
                                <w:t xml:space="preserve">. в день. В такой ситуации уровень цен в 110 долларов за баррель (сорт </w:t>
                              </w:r>
                              <w:r>
                                <w:rPr>
                                  <w:lang w:val="en-US" w:eastAsia="en-US"/>
                                </w:rPr>
                                <w:t>Brent</w:t>
                              </w:r>
                              <w:r>
                                <w:rPr>
                                  <w:lang w:eastAsia="en-US"/>
                                </w:rPr>
                                <w:t>) вполне оправдан  - по словам участников рынка, сейчас спрос и предложение находятся в балансе.</w:t>
                              </w:r>
                            </w:p>
                            <w:p w:rsidR="00CB6BAE" w:rsidRDefault="00CB6BAE">
                              <w:pPr>
                                <w:rPr>
                                  <w:color w:val="1F497D"/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На этой неделе страны ОПЕК проведут ежегодную встречу в Вене, где будет решаться вопрос об изменении квот на добычу. Мы считаем, что планка </w:t>
                              </w:r>
                              <w:proofErr w:type="gramStart"/>
                              <w:r>
                                <w:rPr>
                                  <w:lang w:eastAsia="en-US"/>
                                </w:rPr>
                                <w:t>изменена</w:t>
                              </w:r>
                              <w:proofErr w:type="gramEnd"/>
                              <w:r>
                                <w:rPr>
                                  <w:lang w:eastAsia="en-US"/>
                                </w:rPr>
                                <w:t xml:space="preserve"> не будет. Больший интерес представляют комментарии представителей стран-участниц о временной сделке по ядерной программе Ирана  и ее влиянии на рынок </w:t>
                              </w:r>
                              <w:proofErr w:type="gramStart"/>
                              <w:r>
                                <w:rPr>
                                  <w:lang w:eastAsia="en-US"/>
                                </w:rPr>
                                <w:t>нефти</w:t>
                              </w:r>
                              <w:proofErr w:type="gramEnd"/>
                              <w:r>
                                <w:rPr>
                                  <w:lang w:eastAsia="en-US"/>
                                </w:rPr>
                                <w:t xml:space="preserve"> как в краткосрочной, так и в долгосрочной перспективах.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CB6BAE" w:rsidRDefault="00CB6BAE">
                              <w:pPr>
                                <w:rPr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B6BAE" w:rsidRDefault="00CB6BAE">
                        <w:pPr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CB6BAE" w:rsidRDefault="00CB6BAE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6668135" cy="758825"/>
                        <wp:effectExtent l="19050" t="0" r="0" b="0"/>
                        <wp:docPr id="6" name="Рисунок 2" descr="cid:image006.gif@01CEEF8A.6E988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cid:image006.gif@01CEEF8A.6E988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8135" cy="758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BA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BAE" w:rsidRDefault="00CB6BAE">
                  <w:pPr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B6B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BAE" w:rsidRDefault="00CB6BAE">
                  <w:pPr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B6BA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BAE" w:rsidRDefault="00CB6BAE">
                  <w:pPr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B6BAE" w:rsidRDefault="00CB6BAE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CB6BAE" w:rsidRDefault="00CB6BAE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CB6BAE" w:rsidRPr="00CB6BAE" w:rsidRDefault="00CB6BAE" w:rsidP="00CB6BAE"/>
    <w:sectPr w:rsidR="00CB6BAE" w:rsidRPr="00CB6BAE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BAE"/>
    <w:rsid w:val="006F7C62"/>
    <w:rsid w:val="00850A51"/>
    <w:rsid w:val="00AE1F26"/>
    <w:rsid w:val="00B319BA"/>
    <w:rsid w:val="00C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A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0">
    <w:name w:val="A0"/>
    <w:uiPriority w:val="99"/>
    <w:rsid w:val="00CB6BAE"/>
    <w:rPr>
      <w:rFonts w:cs="Calibri"/>
      <w:i/>
      <w:iCs/>
      <w:color w:val="00000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CB6B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6B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BA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CEEF8A.6E988E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CEEF8A.6E988E20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CEEF8A.6E988E20" TargetMode="External"/><Relationship Id="rId5" Type="http://schemas.openxmlformats.org/officeDocument/2006/relationships/image" Target="cid:image001.jpg@01CEEF8A.6E988E20" TargetMode="External"/><Relationship Id="rId15" Type="http://schemas.openxmlformats.org/officeDocument/2006/relationships/image" Target="cid:image006.gif@01CEEF8A.6E988E2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CEEF8A.6E988E20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788</Words>
  <Characters>4494</Characters>
  <Application>Microsoft Office Word</Application>
  <DocSecurity>0</DocSecurity>
  <Lines>37</Lines>
  <Paragraphs>10</Paragraphs>
  <ScaleCrop>false</ScaleCrop>
  <Company>Finam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2013-12-02T14:05:00Z</dcterms:created>
  <dcterms:modified xsi:type="dcterms:W3CDTF">2013-12-02T14:17:00Z</dcterms:modified>
</cp:coreProperties>
</file>