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527" w:rsidRPr="003F6DB9" w:rsidRDefault="00FA7D48" w:rsidP="005F4326">
      <w:pPr>
        <w:pStyle w:val="af0"/>
        <w:jc w:val="both"/>
        <w:rPr>
          <w:sz w:val="32"/>
        </w:rPr>
      </w:pPr>
      <w:r w:rsidRPr="003F6DB9">
        <w:rPr>
          <w:sz w:val="32"/>
        </w:rPr>
        <w:t>Обзор товарных контрактов ФОРТС от ИГ "Норд-Капитал"</w:t>
      </w:r>
    </w:p>
    <w:p w:rsidR="00FA7D48" w:rsidRDefault="00FA7D48" w:rsidP="00F253C7">
      <w:pPr>
        <w:spacing w:after="240" w:line="20" w:lineRule="atLeast"/>
        <w:ind w:firstLine="284"/>
        <w:jc w:val="both"/>
      </w:pPr>
      <w:r>
        <w:rPr>
          <w:rFonts w:ascii="Calibri" w:hAnsi="Calibri" w:cs="Calibri"/>
        </w:rPr>
        <w:t>Уважаемые коллеги!</w:t>
      </w:r>
    </w:p>
    <w:p w:rsidR="008024BB" w:rsidRDefault="00FA7D48" w:rsidP="00F253C7">
      <w:pPr>
        <w:spacing w:after="240" w:line="20" w:lineRule="atLeast"/>
        <w:ind w:firstLine="284"/>
        <w:jc w:val="both"/>
        <w:rPr>
          <w:sz w:val="28"/>
          <w:szCs w:val="28"/>
        </w:rPr>
      </w:pPr>
      <w:r>
        <w:rPr>
          <w:rFonts w:ascii="Calibri" w:hAnsi="Calibri" w:cs="Calibri"/>
        </w:rPr>
        <w:t xml:space="preserve">Предлагаем вашему вниманию обзор товарных контрактов ФОРТС </w:t>
      </w:r>
      <w:r w:rsidRPr="00A20760">
        <w:rPr>
          <w:rFonts w:ascii="Calibri" w:hAnsi="Calibri" w:cs="Calibri"/>
          <w:b/>
        </w:rPr>
        <w:t xml:space="preserve">за </w:t>
      </w:r>
      <w:r w:rsidR="00DB762C" w:rsidRPr="00A20760">
        <w:rPr>
          <w:b/>
        </w:rPr>
        <w:t xml:space="preserve">неделю </w:t>
      </w:r>
      <w:r w:rsidR="00F253C7">
        <w:rPr>
          <w:b/>
        </w:rPr>
        <w:t xml:space="preserve">26 </w:t>
      </w:r>
      <w:r w:rsidR="00BB7851" w:rsidRPr="00A20760">
        <w:rPr>
          <w:b/>
        </w:rPr>
        <w:t>–</w:t>
      </w:r>
      <w:r w:rsidR="00882200" w:rsidRPr="00A20760">
        <w:rPr>
          <w:b/>
        </w:rPr>
        <w:t xml:space="preserve"> </w:t>
      </w:r>
      <w:r w:rsidR="00F253C7">
        <w:rPr>
          <w:b/>
        </w:rPr>
        <w:t>30</w:t>
      </w:r>
      <w:r w:rsidR="00BB7851" w:rsidRPr="00A20760">
        <w:rPr>
          <w:b/>
        </w:rPr>
        <w:t xml:space="preserve"> августа</w:t>
      </w:r>
      <w:r w:rsidR="005168EE">
        <w:t xml:space="preserve"> </w:t>
      </w:r>
      <w:r w:rsidRPr="00CE3F66">
        <w:t>от ИГ "Норд-Капитал". Искренне надеемся, что он окажется полезным в вашей</w:t>
      </w:r>
      <w:r>
        <w:rPr>
          <w:rFonts w:ascii="Calibri" w:hAnsi="Calibri" w:cs="Calibri"/>
        </w:rPr>
        <w:t xml:space="preserve"> работе, и вы сможете использовать его в своих публикациях.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>Завершившаяся торговая неделя на срочном рынке ФОРТС прошла под знаком неравномерного падения стоимости наиболее ликвидных товарных контрактов. Краткосрочный вспле</w:t>
      </w:r>
      <w:proofErr w:type="gramStart"/>
      <w:r w:rsidRPr="00B924B6">
        <w:t>ск спр</w:t>
      </w:r>
      <w:proofErr w:type="gramEnd"/>
      <w:r w:rsidRPr="00B924B6">
        <w:t>оса на сырьевые товары и драгоценные металлы сменился коррекционными распродажами. Лидером недельного падения стали сентябрьские фьючерсы на платину (PTU3, -3.77%), которые просели заметно сильнее контрактов на золото и серебро.</w:t>
      </w:r>
      <w:r w:rsidR="00BB252A">
        <w:t xml:space="preserve">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>Сентябрьские фьючерсы на сырую не</w:t>
      </w:r>
      <w:r w:rsidR="007B1B88">
        <w:t>фть сорта Brent</w:t>
      </w:r>
      <w:r w:rsidRPr="00B924B6">
        <w:t xml:space="preserve"> (BRU3, +2.33%) также подверглись распродажам во второй половине недели. Тем не менее, они сумели сохранить часть своего недавнего прироста.</w:t>
      </w:r>
      <w:r w:rsidR="00BB252A">
        <w:t xml:space="preserve"> </w:t>
      </w:r>
    </w:p>
    <w:p w:rsidR="00F253C7" w:rsidRPr="00B924B6" w:rsidRDefault="00F253C7" w:rsidP="00F253C7">
      <w:pPr>
        <w:pStyle w:val="af"/>
        <w:ind w:firstLine="284"/>
        <w:jc w:val="both"/>
      </w:pPr>
    </w:p>
    <w:p w:rsidR="00F253C7" w:rsidRPr="00B924B6" w:rsidRDefault="00F253C7" w:rsidP="00F253C7">
      <w:pPr>
        <w:pStyle w:val="af"/>
        <w:ind w:firstLine="284"/>
        <w:jc w:val="both"/>
      </w:pPr>
      <w:r w:rsidRPr="00B924B6">
        <w:t>Сентябрьские фьючерсы на золото (GDU3, -0.30%), несмотря на краткосрочный резкий подъем, завершили минувшую торговую неделю с незначительным понижением. Эти контракты не сумели перевалить трехмесячное сопротивление, расположенное в районе $1430, и довольно легко растеряли весь свой недавний прирост. Информационным поводом для столь резкого движения выступили ожидания начала международной военной операции в Сирии. Во второй половине недели эти опасения поутихли, что позволило фьючерсам на золото вернуться к уровням предыдущего пятничного закрытия.</w:t>
      </w:r>
      <w:r w:rsidR="00BB252A">
        <w:t xml:space="preserve">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Таким образом, фьючерсы на «желтый металл» попытались продолжить свое среднесрочное повышение, наметившееся с конца июня. Ближайшими целями и сопротивлениями для этих контрактов остаются уровни $1430, $1450. В </w:t>
      </w:r>
      <w:proofErr w:type="gramStart"/>
      <w:r w:rsidRPr="00B924B6">
        <w:t>качестве</w:t>
      </w:r>
      <w:proofErr w:type="gramEnd"/>
      <w:r w:rsidRPr="00B924B6">
        <w:t xml:space="preserve"> значимой поддержки выступает район $1350. Вероятно, в ближайшие торговые дни фьючерсы на золото продолжат движение в рамках двухнедельного диапазона $1355 - $1435.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Недельный </w:t>
      </w:r>
      <w:r w:rsidR="007B1B88">
        <w:t>объём</w:t>
      </w:r>
      <w:r w:rsidRPr="00B924B6">
        <w:t xml:space="preserve"> торгов сентябрьскими фьючерсами на золото составил 311 тыс. контрактов. Количество открытых позиций несколько сократилось до 165 тыс. контрактов, против 170 тыс. контрактов неделей ранее. </w:t>
      </w:r>
    </w:p>
    <w:p w:rsidR="00F253C7" w:rsidRPr="00B924B6" w:rsidRDefault="00F253C7" w:rsidP="00F253C7">
      <w:pPr>
        <w:pStyle w:val="af"/>
        <w:ind w:firstLine="284"/>
        <w:jc w:val="both"/>
      </w:pPr>
      <w:r>
        <w:rPr>
          <w:noProof/>
        </w:rPr>
        <w:drawing>
          <wp:inline distT="0" distB="0" distL="0" distR="0" wp14:anchorId="118D0BA1" wp14:editId="6B03D9B5">
            <wp:extent cx="5934075" cy="3476625"/>
            <wp:effectExtent l="0" t="0" r="0" b="0"/>
            <wp:docPr id="12" name="Рисунок 12" descr="GDU3_Зол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DU3_Золот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C7" w:rsidRPr="00B924B6" w:rsidRDefault="00F253C7" w:rsidP="00F253C7">
      <w:pPr>
        <w:pStyle w:val="af"/>
        <w:ind w:firstLine="284"/>
        <w:jc w:val="both"/>
      </w:pPr>
    </w:p>
    <w:p w:rsidR="00F253C7" w:rsidRPr="00B924B6" w:rsidRDefault="00F253C7" w:rsidP="00F253C7">
      <w:pPr>
        <w:pStyle w:val="af"/>
        <w:ind w:firstLine="284"/>
        <w:jc w:val="both"/>
      </w:pPr>
      <w:r w:rsidRPr="00B924B6">
        <w:lastRenderedPageBreak/>
        <w:t xml:space="preserve">Сентябрьские контракты на серебро (SVU3 -2.13%) на минувшей неделе повторили динамику фьючерсов на золото, однако закрылись несколько слабее. Характерной особенностью контрактов на серебро является их склонность стремиться к «круглым» значениям, расположенным с интервалом в $0.5. После неудачной попытки пробоя отметки в $25, точкой притяжения для них стала отметка в $23.5.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>Таким образом, среднесрочная техническая картина во фьючерсах на серебро за последнюю неделю несколько ухудшилась. Вероятно, их существенное трехнедельное повышение перерастает в состояние консолидации вблизи достигнутых уровней.</w:t>
      </w:r>
      <w:r w:rsidR="00BB252A">
        <w:t xml:space="preserve">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Недельный </w:t>
      </w:r>
      <w:r w:rsidR="007B1B88">
        <w:t>объём</w:t>
      </w:r>
      <w:r w:rsidRPr="00B924B6">
        <w:t xml:space="preserve"> торгов сентябрьскими фьючерсами на серебро составил 45 тыс. контрактов. Количество открытых позиций за минувшую неделю существенно сократилось, составив к завершению пятничных торгов около 9.8 тыс. контрактов. </w:t>
      </w:r>
    </w:p>
    <w:p w:rsidR="00F253C7" w:rsidRPr="00B924B6" w:rsidRDefault="00F253C7" w:rsidP="00F253C7">
      <w:pPr>
        <w:pStyle w:val="af"/>
        <w:ind w:firstLine="284"/>
        <w:jc w:val="both"/>
      </w:pPr>
      <w:r>
        <w:rPr>
          <w:noProof/>
        </w:rPr>
        <w:drawing>
          <wp:inline distT="0" distB="0" distL="0" distR="0" wp14:anchorId="0DC3D3C4" wp14:editId="2C9FC5F8">
            <wp:extent cx="5934075" cy="3467100"/>
            <wp:effectExtent l="0" t="0" r="0" b="0"/>
            <wp:docPr id="11" name="Рисунок 11" descr="SVU3_Сереб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VU3_Серебр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C7" w:rsidRPr="00B924B6" w:rsidRDefault="00F253C7" w:rsidP="00F253C7">
      <w:pPr>
        <w:pStyle w:val="af"/>
        <w:ind w:firstLine="284"/>
        <w:jc w:val="both"/>
      </w:pPr>
    </w:p>
    <w:p w:rsidR="00F253C7" w:rsidRPr="00B924B6" w:rsidRDefault="00F253C7" w:rsidP="00F253C7">
      <w:pPr>
        <w:pStyle w:val="af"/>
        <w:ind w:firstLine="284"/>
        <w:jc w:val="both"/>
      </w:pPr>
      <w:r w:rsidRPr="00B924B6">
        <w:t>Сентябрьские фьючерсы на платину (PTU3, -3.77%) по итогам минувшей недели просели заметно сильнее контрактов на золото и серебро. Впрочем, львиная доля состоявшегося падения случилась в последний</w:t>
      </w:r>
      <w:r>
        <w:t xml:space="preserve"> час пятничных торгов. При этом</w:t>
      </w:r>
      <w:r w:rsidRPr="00B924B6">
        <w:t xml:space="preserve"> часовой оборот торгов составил лишь 26 контрактов. Тем не менее, сложившаяся техническая картина говорит в пользу приостановки существенного трехнедельного повышения. Вероятно, в ближайшие торговые дни фьючерсы на платину перейдут в состояние консолидации в средней части широкого месячного диапазона $1430 - $1550.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Недельный </w:t>
      </w:r>
      <w:r w:rsidR="007B1B88">
        <w:t>объём</w:t>
      </w:r>
      <w:r w:rsidRPr="00B924B6">
        <w:t xml:space="preserve"> торгов в сентябрьских фьючерсах на платину составил лишь около 0.4 тыс. контрактов. Количество открытых позиций к завершению пятничных торгов составило 25.5 тыс. контрактов.</w:t>
      </w:r>
    </w:p>
    <w:p w:rsidR="00F253C7" w:rsidRPr="00B924B6" w:rsidRDefault="00F253C7" w:rsidP="00F253C7">
      <w:pPr>
        <w:pStyle w:val="af"/>
        <w:ind w:firstLine="284"/>
        <w:jc w:val="both"/>
      </w:pPr>
      <w:r>
        <w:rPr>
          <w:noProof/>
        </w:rPr>
        <w:lastRenderedPageBreak/>
        <w:drawing>
          <wp:inline distT="0" distB="0" distL="0" distR="0" wp14:anchorId="087A84AD" wp14:editId="5F40A28F">
            <wp:extent cx="5934075" cy="3467100"/>
            <wp:effectExtent l="0" t="0" r="0" b="0"/>
            <wp:docPr id="10" name="Рисунок 10" descr="PTU3_Плат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TU3_Плати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C7" w:rsidRPr="00B924B6" w:rsidRDefault="00F253C7" w:rsidP="00F253C7">
      <w:pPr>
        <w:pStyle w:val="af"/>
        <w:ind w:firstLine="284"/>
        <w:jc w:val="both"/>
      </w:pP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В течение всего предыдущего года платина торговалась существенно дешевле золота, что в долгосрочном периоде является достаточно редким событием. Платина исторически стоит значительно дороже «желтого металла» в связи с ее сравнительной редкостью и более дорогой технологией производства. В последние месяцы фьючерсы на этот драгметалл торговались несколько сильнее фьючерсов на золото. К завершению пятничных торгов разница цен в сентябрьских контрактах существенно сузилась до $84 за унцию в пользу платины. Таким образом, текущий спрэд составляет около 6%. </w:t>
      </w:r>
    </w:p>
    <w:p w:rsidR="00F253C7" w:rsidRPr="00B924B6" w:rsidRDefault="00F253C7" w:rsidP="00F253C7">
      <w:pPr>
        <w:pStyle w:val="af"/>
        <w:ind w:firstLine="284"/>
        <w:jc w:val="both"/>
      </w:pPr>
      <w:r>
        <w:rPr>
          <w:noProof/>
        </w:rPr>
        <w:drawing>
          <wp:inline distT="0" distB="0" distL="0" distR="0" wp14:anchorId="4DA92D40" wp14:editId="6E39E044">
            <wp:extent cx="5934075" cy="3457575"/>
            <wp:effectExtent l="0" t="0" r="0" b="0"/>
            <wp:docPr id="9" name="Рисунок 9" descr="Золото_Платина_Соотношение ц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олото_Платина_Соотношение цен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C7" w:rsidRPr="00B924B6" w:rsidRDefault="00F253C7" w:rsidP="00F253C7">
      <w:pPr>
        <w:pStyle w:val="af"/>
        <w:ind w:firstLine="284"/>
        <w:jc w:val="both"/>
      </w:pPr>
    </w:p>
    <w:p w:rsidR="00F253C7" w:rsidRPr="00B924B6" w:rsidRDefault="00F253C7" w:rsidP="00F253C7">
      <w:pPr>
        <w:pStyle w:val="af"/>
        <w:ind w:firstLine="284"/>
        <w:jc w:val="both"/>
      </w:pPr>
      <w:r w:rsidRPr="00B924B6">
        <w:t>Среди нескольких торгующихся контрактов на сырую нефть сорта Brent наиболее ликвидными стали сентябрьские фьючерсы (BRU3, +2.33%). В середине минувшей недели они резко повысились до полугодового максимума. Основной причиной столь стремительного прироста стоимости «черного золота» стали ожидания начала междунар</w:t>
      </w:r>
      <w:r>
        <w:t>одной военной операции в Сирии.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lastRenderedPageBreak/>
        <w:t>В ходе своего стремительного повышения сентябрьские контракты нащупали достаточно прочное сопротивление на подступах к круглой отметке в $117. Еще одной причиной для приостановки роста стал выход еженедельных статистических данных, указавших на существенно большее, чем ожидалось, увеличение запасов сырой нефти в США. Кроме того, ожидания скорого начала ракетных обстрелов целей на территории Сирии несколько ослабли на фоне новости о том, что британский парламент не поддержал начало военной операции.</w:t>
      </w:r>
      <w:r w:rsidR="00BB252A">
        <w:t xml:space="preserve">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>Таким образом, среднесрочная техническая картина во фью</w:t>
      </w:r>
      <w:r w:rsidR="007B1B88">
        <w:t xml:space="preserve">черсах на нефть сорта </w:t>
      </w:r>
      <w:r w:rsidRPr="00B924B6">
        <w:t>Brent за последнюю неделю существенно улучшилась. Впрочем, обратной стороной состоявшегося повышения является увеличение риска коррекционного отката текущих уровней. Вероятно, в ближайшие торговые дни эти контракты продолжат движение в рамках широкого недельного диапазона $110.51 - $117.05.</w:t>
      </w:r>
      <w:r w:rsidR="00BB252A">
        <w:t xml:space="preserve">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>В то же время «дальний», октябрьский (BRV3) нефтяной контракт торгуется в состоянии бэквордации величиной в $1.69, или 1.5% по отношению к «ближнему». Участники срочного рынка ожидают умеренного понижения цены</w:t>
      </w:r>
      <w:r w:rsidR="007B1B88">
        <w:t xml:space="preserve"> на нефть сорта </w:t>
      </w:r>
      <w:r w:rsidRPr="00B924B6">
        <w:t xml:space="preserve">Brent в ближайший месяц.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Недельный </w:t>
      </w:r>
      <w:r w:rsidR="007B1B88">
        <w:t>объём</w:t>
      </w:r>
      <w:r w:rsidRPr="00B924B6">
        <w:t xml:space="preserve"> торгов в сентябрьских контрактах на нефть </w:t>
      </w:r>
      <w:r w:rsidR="007B1B88">
        <w:t xml:space="preserve">сорта </w:t>
      </w:r>
      <w:bookmarkStart w:id="0" w:name="_GoBack"/>
      <w:r w:rsidRPr="00B924B6">
        <w:t>Brent</w:t>
      </w:r>
      <w:bookmarkEnd w:id="0"/>
      <w:r w:rsidRPr="00B924B6">
        <w:t xml:space="preserve"> составил 581 тыс. контрактов. К завершению пятничных торгов количество открытых позиций существенно увеличилось до 107 тыс. контрактов, против 81 тыс. контрактов неделей ранее. </w:t>
      </w:r>
    </w:p>
    <w:p w:rsidR="00F253C7" w:rsidRPr="00B924B6" w:rsidRDefault="00F253C7" w:rsidP="00F253C7">
      <w:pPr>
        <w:pStyle w:val="af"/>
        <w:ind w:firstLine="284"/>
        <w:jc w:val="both"/>
      </w:pPr>
      <w:r>
        <w:rPr>
          <w:noProof/>
        </w:rPr>
        <w:drawing>
          <wp:inline distT="0" distB="0" distL="0" distR="0" wp14:anchorId="3D5D7FBF" wp14:editId="46FAA392">
            <wp:extent cx="5934075" cy="3467100"/>
            <wp:effectExtent l="0" t="0" r="0" b="0"/>
            <wp:docPr id="8" name="Рисунок 8" descr="BRU3_Неф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RU3_Нефт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C7" w:rsidRPr="00B924B6" w:rsidRDefault="00F253C7" w:rsidP="00F253C7">
      <w:pPr>
        <w:pStyle w:val="af"/>
        <w:ind w:firstLine="284"/>
        <w:jc w:val="both"/>
      </w:pP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Единственным сравнительно ликвидным сельскохозяйственным контрактом на </w:t>
      </w:r>
      <w:r w:rsidR="007B1B88">
        <w:t>р</w:t>
      </w:r>
      <w:r w:rsidRPr="00B924B6">
        <w:t xml:space="preserve">оссийском срочном рынке является октябрьский фьючерс на сахар (SAV3, -1.22%). При достаточно большом количестве открытых позиций (10.7 тыс.), недельный </w:t>
      </w:r>
      <w:r w:rsidR="007B1B88">
        <w:t>объём</w:t>
      </w:r>
      <w:r w:rsidRPr="00B924B6">
        <w:t xml:space="preserve"> торгов составил около 1.7 тыс. контрактов.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На минувшей неделе эти фьючерсы вновь подверглись умеренным распродажам. Таким образом, недавние попытки повышения в район 13 руб. потерпели неудачу. В </w:t>
      </w:r>
      <w:proofErr w:type="gramStart"/>
      <w:r w:rsidRPr="00B924B6">
        <w:t>качестве</w:t>
      </w:r>
      <w:proofErr w:type="gramEnd"/>
      <w:r w:rsidRPr="00B924B6">
        <w:t xml:space="preserve"> локального уровня поддержки продолжает выступать круглая отметка 12 руб. Вероятно, фьючерсы на сахар проведут ближайшие торговые дни в состоянии консолидации в границах трехнедельного диапазона 12.03 – 12.97 руб. </w:t>
      </w:r>
    </w:p>
    <w:p w:rsidR="00F253C7" w:rsidRPr="00B924B6" w:rsidRDefault="00F253C7" w:rsidP="00F253C7">
      <w:pPr>
        <w:pStyle w:val="af"/>
        <w:ind w:firstLine="284"/>
        <w:jc w:val="both"/>
      </w:pPr>
      <w:r w:rsidRPr="00B924B6">
        <w:t xml:space="preserve">Добавим, что в среднесрочной перспективе цены на сахар находятся под давлением в связи с ожиданиями </w:t>
      </w:r>
      <w:r w:rsidRPr="00B924B6">
        <w:rPr>
          <w:szCs w:val="20"/>
        </w:rPr>
        <w:t xml:space="preserve">перепроизводства этого продукта на мировом рынке в текущем сельскохозяйственном году. По некоторым оценкам, производство сахара в России в 2013 г. может достигнуть рекордных </w:t>
      </w:r>
      <w:r w:rsidR="007B1B88">
        <w:rPr>
          <w:szCs w:val="20"/>
        </w:rPr>
        <w:t>объём</w:t>
      </w:r>
      <w:r w:rsidRPr="00B924B6">
        <w:rPr>
          <w:szCs w:val="20"/>
        </w:rPr>
        <w:t>ов.</w:t>
      </w:r>
    </w:p>
    <w:p w:rsidR="00F253C7" w:rsidRPr="00B924B6" w:rsidRDefault="00F253C7" w:rsidP="00F253C7">
      <w:pPr>
        <w:pStyle w:val="af"/>
        <w:ind w:firstLine="284"/>
        <w:jc w:val="both"/>
      </w:pPr>
      <w:r>
        <w:rPr>
          <w:noProof/>
        </w:rPr>
        <w:lastRenderedPageBreak/>
        <w:drawing>
          <wp:inline distT="0" distB="0" distL="0" distR="0">
            <wp:extent cx="5934075" cy="3467100"/>
            <wp:effectExtent l="0" t="0" r="0" b="0"/>
            <wp:docPr id="7" name="Рисунок 7" descr="SAV3_Сах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V3_Сахар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3C7" w:rsidRPr="00B924B6" w:rsidRDefault="00F253C7" w:rsidP="00F253C7">
      <w:pPr>
        <w:pStyle w:val="af"/>
        <w:ind w:firstLine="284"/>
        <w:jc w:val="both"/>
      </w:pPr>
    </w:p>
    <w:p w:rsidR="00566D07" w:rsidRPr="007010DB" w:rsidRDefault="00566D07" w:rsidP="00566D07">
      <w:pPr>
        <w:pStyle w:val="af"/>
        <w:ind w:firstLine="284"/>
        <w:jc w:val="both"/>
      </w:pPr>
    </w:p>
    <w:p w:rsidR="00FA7D48" w:rsidRPr="003F476A" w:rsidRDefault="00FA7D48" w:rsidP="00E03A5B">
      <w:pPr>
        <w:spacing w:after="240" w:line="20" w:lineRule="atLeast"/>
        <w:jc w:val="both"/>
      </w:pPr>
      <w:r w:rsidRPr="003F476A">
        <w:t xml:space="preserve">Если у вас возникли вопросы, просим обращаться к Виталию </w:t>
      </w:r>
      <w:proofErr w:type="spellStart"/>
      <w:r w:rsidRPr="003F476A">
        <w:t>Манжосу</w:t>
      </w:r>
      <w:proofErr w:type="spellEnd"/>
      <w:r w:rsidRPr="003F476A">
        <w:t>, аналитику ИГ «Норд-Капитал»:</w:t>
      </w:r>
    </w:p>
    <w:p w:rsidR="00FA7D48" w:rsidRDefault="00FA7D48" w:rsidP="00E03A5B">
      <w:pPr>
        <w:spacing w:after="240" w:line="20" w:lineRule="atLeast"/>
        <w:jc w:val="both"/>
      </w:pPr>
      <w:r>
        <w:rPr>
          <w:rFonts w:ascii="Calibri" w:eastAsia="Times New Roman" w:hAnsi="Calibri" w:cs="Calibri"/>
        </w:rPr>
        <w:t>+79028763226</w:t>
      </w:r>
      <w:r>
        <w:rPr>
          <w:rFonts w:ascii="Calibri" w:eastAsia="Times New Roman" w:hAnsi="Calibri" w:cs="Calibri"/>
        </w:rPr>
        <w:br/>
        <w:t>+79221811187</w:t>
      </w:r>
      <w:r>
        <w:rPr>
          <w:rFonts w:ascii="Calibri" w:eastAsia="Times New Roman" w:hAnsi="Calibri" w:cs="Calibri"/>
        </w:rPr>
        <w:br/>
      </w:r>
      <w:hyperlink r:id="rId14" w:history="1">
        <w:r>
          <w:rPr>
            <w:rStyle w:val="a5"/>
            <w:rFonts w:ascii="Calibri" w:hAnsi="Calibri" w:cs="Calibri"/>
            <w:lang w:val="en-US"/>
          </w:rPr>
          <w:t>manzhos</w:t>
        </w:r>
        <w:r>
          <w:rPr>
            <w:rStyle w:val="a5"/>
            <w:rFonts w:ascii="Calibri" w:hAnsi="Calibri" w:cs="Calibri"/>
          </w:rPr>
          <w:t>@</w:t>
        </w:r>
        <w:r>
          <w:rPr>
            <w:rStyle w:val="a5"/>
            <w:rFonts w:ascii="Calibri" w:hAnsi="Calibri" w:cs="Calibri"/>
            <w:lang w:val="en-US"/>
          </w:rPr>
          <w:t>ncapital</w:t>
        </w:r>
        <w:r>
          <w:rPr>
            <w:rStyle w:val="a5"/>
            <w:rFonts w:ascii="Calibri" w:hAnsi="Calibri" w:cs="Calibri"/>
          </w:rPr>
          <w:t>.</w:t>
        </w:r>
        <w:r>
          <w:rPr>
            <w:rStyle w:val="a5"/>
            <w:rFonts w:ascii="Calibri" w:hAnsi="Calibri" w:cs="Calibri"/>
            <w:lang w:val="en-US"/>
          </w:rPr>
          <w:t>ru</w:t>
        </w:r>
      </w:hyperlink>
    </w:p>
    <w:p w:rsidR="000C190F" w:rsidRPr="004C5E30" w:rsidRDefault="00FA7D48" w:rsidP="00E03A5B">
      <w:pPr>
        <w:spacing w:after="240" w:line="20" w:lineRule="atLeast"/>
        <w:jc w:val="both"/>
        <w:rPr>
          <w:b/>
        </w:rPr>
      </w:pPr>
      <w:r w:rsidRPr="004C5E30">
        <w:rPr>
          <w:rFonts w:ascii="Calibri" w:hAnsi="Calibri" w:cs="Calibri"/>
          <w:b/>
        </w:rPr>
        <w:t>Пожалуйста, если вы не используете подобные аналитические продукты в своей работе, сообщите об этом нам: мы ни в коей мере не хотим доставлять вам неудобства своей рассылкой!</w:t>
      </w:r>
    </w:p>
    <w:sectPr w:rsidR="000C190F" w:rsidRPr="004C5E30" w:rsidSect="0059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54" w:rsidRDefault="00995054" w:rsidP="00726CBF">
      <w:pPr>
        <w:spacing w:after="0" w:line="240" w:lineRule="auto"/>
      </w:pPr>
      <w:r>
        <w:separator/>
      </w:r>
    </w:p>
  </w:endnote>
  <w:endnote w:type="continuationSeparator" w:id="0">
    <w:p w:rsidR="00995054" w:rsidRDefault="00995054" w:rsidP="0072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54" w:rsidRDefault="00995054" w:rsidP="00726CBF">
      <w:pPr>
        <w:spacing w:after="0" w:line="240" w:lineRule="auto"/>
      </w:pPr>
      <w:r>
        <w:separator/>
      </w:r>
    </w:p>
  </w:footnote>
  <w:footnote w:type="continuationSeparator" w:id="0">
    <w:p w:rsidR="00995054" w:rsidRDefault="00995054" w:rsidP="00726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6F206D"/>
    <w:multiLevelType w:val="hybridMultilevel"/>
    <w:tmpl w:val="B71AF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AD49F9"/>
    <w:multiLevelType w:val="hybridMultilevel"/>
    <w:tmpl w:val="14789730"/>
    <w:lvl w:ilvl="0" w:tplc="0419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3F66"/>
    <w:rsid w:val="00005269"/>
    <w:rsid w:val="00007B29"/>
    <w:rsid w:val="0002377C"/>
    <w:rsid w:val="00025070"/>
    <w:rsid w:val="000273F3"/>
    <w:rsid w:val="00036F26"/>
    <w:rsid w:val="000415B5"/>
    <w:rsid w:val="0005746D"/>
    <w:rsid w:val="00057508"/>
    <w:rsid w:val="00061FB1"/>
    <w:rsid w:val="00063881"/>
    <w:rsid w:val="00064F7D"/>
    <w:rsid w:val="0006734A"/>
    <w:rsid w:val="000746B6"/>
    <w:rsid w:val="00074CF3"/>
    <w:rsid w:val="00080C61"/>
    <w:rsid w:val="00081722"/>
    <w:rsid w:val="00085D24"/>
    <w:rsid w:val="000A295C"/>
    <w:rsid w:val="000A5DB9"/>
    <w:rsid w:val="000B640C"/>
    <w:rsid w:val="000C190F"/>
    <w:rsid w:val="000C3D34"/>
    <w:rsid w:val="000C437F"/>
    <w:rsid w:val="000C6FA8"/>
    <w:rsid w:val="000D377F"/>
    <w:rsid w:val="000E3DE8"/>
    <w:rsid w:val="00102DB6"/>
    <w:rsid w:val="00104787"/>
    <w:rsid w:val="00112C23"/>
    <w:rsid w:val="00113C9B"/>
    <w:rsid w:val="001241A5"/>
    <w:rsid w:val="0012760C"/>
    <w:rsid w:val="00127ADB"/>
    <w:rsid w:val="001419BD"/>
    <w:rsid w:val="001419D8"/>
    <w:rsid w:val="001461E1"/>
    <w:rsid w:val="001465FE"/>
    <w:rsid w:val="0015120A"/>
    <w:rsid w:val="00151727"/>
    <w:rsid w:val="001552B3"/>
    <w:rsid w:val="00164268"/>
    <w:rsid w:val="001659AC"/>
    <w:rsid w:val="001A62E4"/>
    <w:rsid w:val="001B32B6"/>
    <w:rsid w:val="001B6188"/>
    <w:rsid w:val="001D0325"/>
    <w:rsid w:val="001D1E58"/>
    <w:rsid w:val="001E07F6"/>
    <w:rsid w:val="001F05DD"/>
    <w:rsid w:val="001F0D60"/>
    <w:rsid w:val="001F2815"/>
    <w:rsid w:val="001F5ADC"/>
    <w:rsid w:val="00205DDE"/>
    <w:rsid w:val="002173EF"/>
    <w:rsid w:val="00220C2F"/>
    <w:rsid w:val="002244F4"/>
    <w:rsid w:val="00236290"/>
    <w:rsid w:val="002435A7"/>
    <w:rsid w:val="00244412"/>
    <w:rsid w:val="0025522B"/>
    <w:rsid w:val="0026005F"/>
    <w:rsid w:val="002616AA"/>
    <w:rsid w:val="00265F70"/>
    <w:rsid w:val="00270EAA"/>
    <w:rsid w:val="002757C6"/>
    <w:rsid w:val="00275BA8"/>
    <w:rsid w:val="00292F3D"/>
    <w:rsid w:val="00292F8E"/>
    <w:rsid w:val="00294A58"/>
    <w:rsid w:val="002962AA"/>
    <w:rsid w:val="002A61CB"/>
    <w:rsid w:val="002A7EF5"/>
    <w:rsid w:val="002B1FB8"/>
    <w:rsid w:val="002C15FC"/>
    <w:rsid w:val="002E33F2"/>
    <w:rsid w:val="002E5C32"/>
    <w:rsid w:val="002F28EB"/>
    <w:rsid w:val="003002BE"/>
    <w:rsid w:val="00300BAF"/>
    <w:rsid w:val="00304181"/>
    <w:rsid w:val="00305648"/>
    <w:rsid w:val="0030757B"/>
    <w:rsid w:val="00316DF5"/>
    <w:rsid w:val="00320889"/>
    <w:rsid w:val="00324D8C"/>
    <w:rsid w:val="00330C3D"/>
    <w:rsid w:val="003313E8"/>
    <w:rsid w:val="00331E93"/>
    <w:rsid w:val="00334B02"/>
    <w:rsid w:val="00347537"/>
    <w:rsid w:val="00347B77"/>
    <w:rsid w:val="003520C4"/>
    <w:rsid w:val="00362FC6"/>
    <w:rsid w:val="003732C3"/>
    <w:rsid w:val="00383B7C"/>
    <w:rsid w:val="003A0512"/>
    <w:rsid w:val="003A6746"/>
    <w:rsid w:val="003D4701"/>
    <w:rsid w:val="003E2C62"/>
    <w:rsid w:val="003F2819"/>
    <w:rsid w:val="003F476A"/>
    <w:rsid w:val="003F6DB9"/>
    <w:rsid w:val="003F7AFF"/>
    <w:rsid w:val="004068E8"/>
    <w:rsid w:val="004178A0"/>
    <w:rsid w:val="0042320C"/>
    <w:rsid w:val="00427657"/>
    <w:rsid w:val="00456185"/>
    <w:rsid w:val="00461329"/>
    <w:rsid w:val="00461B08"/>
    <w:rsid w:val="00470F99"/>
    <w:rsid w:val="00480D23"/>
    <w:rsid w:val="004838CC"/>
    <w:rsid w:val="0048514B"/>
    <w:rsid w:val="00486294"/>
    <w:rsid w:val="0049718C"/>
    <w:rsid w:val="004B293E"/>
    <w:rsid w:val="004C5E30"/>
    <w:rsid w:val="004C79D5"/>
    <w:rsid w:val="004C7E8F"/>
    <w:rsid w:val="004E641F"/>
    <w:rsid w:val="00503B0A"/>
    <w:rsid w:val="00505DF5"/>
    <w:rsid w:val="005168EE"/>
    <w:rsid w:val="00523B23"/>
    <w:rsid w:val="00530125"/>
    <w:rsid w:val="00540799"/>
    <w:rsid w:val="00540D52"/>
    <w:rsid w:val="00545A49"/>
    <w:rsid w:val="00550A0C"/>
    <w:rsid w:val="005510DA"/>
    <w:rsid w:val="0055194C"/>
    <w:rsid w:val="00566D07"/>
    <w:rsid w:val="00572B89"/>
    <w:rsid w:val="0057456A"/>
    <w:rsid w:val="0058162B"/>
    <w:rsid w:val="0058531C"/>
    <w:rsid w:val="005871C9"/>
    <w:rsid w:val="0059234E"/>
    <w:rsid w:val="00593385"/>
    <w:rsid w:val="0059374E"/>
    <w:rsid w:val="00595A46"/>
    <w:rsid w:val="00597605"/>
    <w:rsid w:val="005A0831"/>
    <w:rsid w:val="005A2BFE"/>
    <w:rsid w:val="005B68EB"/>
    <w:rsid w:val="005C66F9"/>
    <w:rsid w:val="005D097B"/>
    <w:rsid w:val="005D7D5F"/>
    <w:rsid w:val="005F24AE"/>
    <w:rsid w:val="005F4326"/>
    <w:rsid w:val="00605740"/>
    <w:rsid w:val="006057DB"/>
    <w:rsid w:val="00611696"/>
    <w:rsid w:val="0061492D"/>
    <w:rsid w:val="00620530"/>
    <w:rsid w:val="006218CC"/>
    <w:rsid w:val="006265B2"/>
    <w:rsid w:val="006311AE"/>
    <w:rsid w:val="00633FAE"/>
    <w:rsid w:val="00636310"/>
    <w:rsid w:val="00646C45"/>
    <w:rsid w:val="00651E7A"/>
    <w:rsid w:val="006536A5"/>
    <w:rsid w:val="006616E6"/>
    <w:rsid w:val="00661A0D"/>
    <w:rsid w:val="00664298"/>
    <w:rsid w:val="00664F77"/>
    <w:rsid w:val="006674EE"/>
    <w:rsid w:val="00674312"/>
    <w:rsid w:val="00682EFF"/>
    <w:rsid w:val="00693266"/>
    <w:rsid w:val="006945F4"/>
    <w:rsid w:val="006A1F5A"/>
    <w:rsid w:val="006A5C5C"/>
    <w:rsid w:val="006A6947"/>
    <w:rsid w:val="006B3AFA"/>
    <w:rsid w:val="006B6DBB"/>
    <w:rsid w:val="006C4493"/>
    <w:rsid w:val="006D071D"/>
    <w:rsid w:val="006D2E1B"/>
    <w:rsid w:val="006D386D"/>
    <w:rsid w:val="006E1569"/>
    <w:rsid w:val="006E4F82"/>
    <w:rsid w:val="006F2AFD"/>
    <w:rsid w:val="006F42E2"/>
    <w:rsid w:val="006F7D05"/>
    <w:rsid w:val="00700936"/>
    <w:rsid w:val="0072517D"/>
    <w:rsid w:val="00726CBF"/>
    <w:rsid w:val="00731B6B"/>
    <w:rsid w:val="007375C0"/>
    <w:rsid w:val="007428D6"/>
    <w:rsid w:val="007540C3"/>
    <w:rsid w:val="007605BD"/>
    <w:rsid w:val="00760B0D"/>
    <w:rsid w:val="00760CE0"/>
    <w:rsid w:val="007641F4"/>
    <w:rsid w:val="0077024C"/>
    <w:rsid w:val="00785420"/>
    <w:rsid w:val="00787865"/>
    <w:rsid w:val="00795C3E"/>
    <w:rsid w:val="00797FCB"/>
    <w:rsid w:val="007B13F5"/>
    <w:rsid w:val="007B1B88"/>
    <w:rsid w:val="007B3AC7"/>
    <w:rsid w:val="007D175E"/>
    <w:rsid w:val="007D33DE"/>
    <w:rsid w:val="007F3FC0"/>
    <w:rsid w:val="007F5522"/>
    <w:rsid w:val="008024BB"/>
    <w:rsid w:val="00804488"/>
    <w:rsid w:val="00806EF9"/>
    <w:rsid w:val="00812D5E"/>
    <w:rsid w:val="008173BD"/>
    <w:rsid w:val="008219BD"/>
    <w:rsid w:val="008221D5"/>
    <w:rsid w:val="00831C28"/>
    <w:rsid w:val="00845EF8"/>
    <w:rsid w:val="0084765E"/>
    <w:rsid w:val="00865622"/>
    <w:rsid w:val="008760D4"/>
    <w:rsid w:val="00882200"/>
    <w:rsid w:val="00882BD4"/>
    <w:rsid w:val="00892205"/>
    <w:rsid w:val="00894523"/>
    <w:rsid w:val="008946BB"/>
    <w:rsid w:val="00894C48"/>
    <w:rsid w:val="00897FD6"/>
    <w:rsid w:val="008A1317"/>
    <w:rsid w:val="008A71FD"/>
    <w:rsid w:val="008B65D2"/>
    <w:rsid w:val="008C09D7"/>
    <w:rsid w:val="008C7327"/>
    <w:rsid w:val="008D1924"/>
    <w:rsid w:val="008F6461"/>
    <w:rsid w:val="008F67E0"/>
    <w:rsid w:val="009138C5"/>
    <w:rsid w:val="00917028"/>
    <w:rsid w:val="00921E6F"/>
    <w:rsid w:val="009229A5"/>
    <w:rsid w:val="009233B2"/>
    <w:rsid w:val="00923CE2"/>
    <w:rsid w:val="009308DD"/>
    <w:rsid w:val="0093430A"/>
    <w:rsid w:val="00936A7F"/>
    <w:rsid w:val="00943C26"/>
    <w:rsid w:val="0095113E"/>
    <w:rsid w:val="009531FD"/>
    <w:rsid w:val="00962175"/>
    <w:rsid w:val="00964A7A"/>
    <w:rsid w:val="009764BD"/>
    <w:rsid w:val="00995054"/>
    <w:rsid w:val="009A2B78"/>
    <w:rsid w:val="009A2F20"/>
    <w:rsid w:val="009A69A3"/>
    <w:rsid w:val="009C37FC"/>
    <w:rsid w:val="009D4FD5"/>
    <w:rsid w:val="009D7DE8"/>
    <w:rsid w:val="009E0104"/>
    <w:rsid w:val="009F3A8D"/>
    <w:rsid w:val="009F7443"/>
    <w:rsid w:val="00A02760"/>
    <w:rsid w:val="00A02E15"/>
    <w:rsid w:val="00A057AC"/>
    <w:rsid w:val="00A119AB"/>
    <w:rsid w:val="00A15FFF"/>
    <w:rsid w:val="00A20760"/>
    <w:rsid w:val="00A24F4F"/>
    <w:rsid w:val="00A30D7E"/>
    <w:rsid w:val="00A333D5"/>
    <w:rsid w:val="00A375BF"/>
    <w:rsid w:val="00A408B8"/>
    <w:rsid w:val="00A45671"/>
    <w:rsid w:val="00A46946"/>
    <w:rsid w:val="00A46FBE"/>
    <w:rsid w:val="00A65013"/>
    <w:rsid w:val="00A77E77"/>
    <w:rsid w:val="00AA640A"/>
    <w:rsid w:val="00AB25C3"/>
    <w:rsid w:val="00AB41CF"/>
    <w:rsid w:val="00AB5E17"/>
    <w:rsid w:val="00AC17B7"/>
    <w:rsid w:val="00AC1B09"/>
    <w:rsid w:val="00AC4256"/>
    <w:rsid w:val="00AD5205"/>
    <w:rsid w:val="00AD53CC"/>
    <w:rsid w:val="00AD6AA0"/>
    <w:rsid w:val="00AE08FA"/>
    <w:rsid w:val="00AE31EE"/>
    <w:rsid w:val="00AE45C0"/>
    <w:rsid w:val="00AE5C16"/>
    <w:rsid w:val="00AF3CD7"/>
    <w:rsid w:val="00AF55CD"/>
    <w:rsid w:val="00B00023"/>
    <w:rsid w:val="00B0017A"/>
    <w:rsid w:val="00B01007"/>
    <w:rsid w:val="00B0285C"/>
    <w:rsid w:val="00B120DF"/>
    <w:rsid w:val="00B15606"/>
    <w:rsid w:val="00B17698"/>
    <w:rsid w:val="00B251CE"/>
    <w:rsid w:val="00B45D92"/>
    <w:rsid w:val="00B532DB"/>
    <w:rsid w:val="00B53C2F"/>
    <w:rsid w:val="00B57A0A"/>
    <w:rsid w:val="00B62CAD"/>
    <w:rsid w:val="00B62FC8"/>
    <w:rsid w:val="00B67570"/>
    <w:rsid w:val="00B74385"/>
    <w:rsid w:val="00B76732"/>
    <w:rsid w:val="00B8165E"/>
    <w:rsid w:val="00B848D2"/>
    <w:rsid w:val="00B97B62"/>
    <w:rsid w:val="00BB252A"/>
    <w:rsid w:val="00BB6F1E"/>
    <w:rsid w:val="00BB759B"/>
    <w:rsid w:val="00BB7851"/>
    <w:rsid w:val="00BC713C"/>
    <w:rsid w:val="00BE23EC"/>
    <w:rsid w:val="00BE2A0D"/>
    <w:rsid w:val="00BE5755"/>
    <w:rsid w:val="00BE5988"/>
    <w:rsid w:val="00BF1249"/>
    <w:rsid w:val="00BF1A70"/>
    <w:rsid w:val="00BF1BAD"/>
    <w:rsid w:val="00C02061"/>
    <w:rsid w:val="00C15D4D"/>
    <w:rsid w:val="00C15E85"/>
    <w:rsid w:val="00C329E9"/>
    <w:rsid w:val="00C3531C"/>
    <w:rsid w:val="00C47681"/>
    <w:rsid w:val="00C5752B"/>
    <w:rsid w:val="00C653F8"/>
    <w:rsid w:val="00C670AB"/>
    <w:rsid w:val="00C700FE"/>
    <w:rsid w:val="00C768E6"/>
    <w:rsid w:val="00C77D9D"/>
    <w:rsid w:val="00C97A56"/>
    <w:rsid w:val="00CB15E7"/>
    <w:rsid w:val="00CB2E91"/>
    <w:rsid w:val="00CC1991"/>
    <w:rsid w:val="00CC4CCA"/>
    <w:rsid w:val="00CD007F"/>
    <w:rsid w:val="00CD0D76"/>
    <w:rsid w:val="00CD1686"/>
    <w:rsid w:val="00CD6B8A"/>
    <w:rsid w:val="00CD6E43"/>
    <w:rsid w:val="00CD7C82"/>
    <w:rsid w:val="00CE3F66"/>
    <w:rsid w:val="00D0565E"/>
    <w:rsid w:val="00D0681A"/>
    <w:rsid w:val="00D105C5"/>
    <w:rsid w:val="00D13648"/>
    <w:rsid w:val="00D13884"/>
    <w:rsid w:val="00D15567"/>
    <w:rsid w:val="00D23A95"/>
    <w:rsid w:val="00D26CC9"/>
    <w:rsid w:val="00D31B17"/>
    <w:rsid w:val="00D362E5"/>
    <w:rsid w:val="00D3726C"/>
    <w:rsid w:val="00D43DFB"/>
    <w:rsid w:val="00D51DE1"/>
    <w:rsid w:val="00D55FDF"/>
    <w:rsid w:val="00D5693D"/>
    <w:rsid w:val="00D80956"/>
    <w:rsid w:val="00D857E7"/>
    <w:rsid w:val="00D86342"/>
    <w:rsid w:val="00D90341"/>
    <w:rsid w:val="00D94E3E"/>
    <w:rsid w:val="00D95457"/>
    <w:rsid w:val="00DA58A8"/>
    <w:rsid w:val="00DA6304"/>
    <w:rsid w:val="00DB063D"/>
    <w:rsid w:val="00DB4118"/>
    <w:rsid w:val="00DB762C"/>
    <w:rsid w:val="00DC1778"/>
    <w:rsid w:val="00DC6BD9"/>
    <w:rsid w:val="00DC7938"/>
    <w:rsid w:val="00DD148F"/>
    <w:rsid w:val="00DE5D71"/>
    <w:rsid w:val="00DF3C6B"/>
    <w:rsid w:val="00DF544C"/>
    <w:rsid w:val="00E03A5B"/>
    <w:rsid w:val="00E14EA7"/>
    <w:rsid w:val="00E15527"/>
    <w:rsid w:val="00E255EB"/>
    <w:rsid w:val="00E3017D"/>
    <w:rsid w:val="00E34C98"/>
    <w:rsid w:val="00E555D3"/>
    <w:rsid w:val="00E616C1"/>
    <w:rsid w:val="00E61CC5"/>
    <w:rsid w:val="00E653E3"/>
    <w:rsid w:val="00E70E1F"/>
    <w:rsid w:val="00E71464"/>
    <w:rsid w:val="00E74CA4"/>
    <w:rsid w:val="00E80062"/>
    <w:rsid w:val="00E816DD"/>
    <w:rsid w:val="00E86354"/>
    <w:rsid w:val="00E866F7"/>
    <w:rsid w:val="00E87A21"/>
    <w:rsid w:val="00EA274A"/>
    <w:rsid w:val="00EA2AD3"/>
    <w:rsid w:val="00EA41CD"/>
    <w:rsid w:val="00EA51B1"/>
    <w:rsid w:val="00EB3943"/>
    <w:rsid w:val="00EC7730"/>
    <w:rsid w:val="00ED5B53"/>
    <w:rsid w:val="00ED78E0"/>
    <w:rsid w:val="00EE060A"/>
    <w:rsid w:val="00EE1436"/>
    <w:rsid w:val="00EE5F74"/>
    <w:rsid w:val="00F074B2"/>
    <w:rsid w:val="00F173AD"/>
    <w:rsid w:val="00F2207A"/>
    <w:rsid w:val="00F253C7"/>
    <w:rsid w:val="00F42B62"/>
    <w:rsid w:val="00F52BFE"/>
    <w:rsid w:val="00F53E12"/>
    <w:rsid w:val="00F54615"/>
    <w:rsid w:val="00F723F1"/>
    <w:rsid w:val="00F75131"/>
    <w:rsid w:val="00F761B2"/>
    <w:rsid w:val="00F86746"/>
    <w:rsid w:val="00F95692"/>
    <w:rsid w:val="00FA7266"/>
    <w:rsid w:val="00FA7D48"/>
    <w:rsid w:val="00FC29EE"/>
    <w:rsid w:val="00FC2A4B"/>
    <w:rsid w:val="00FC4545"/>
    <w:rsid w:val="00FD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FF"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List Paragraph"/>
    <w:basedOn w:val="a"/>
    <w:uiPriority w:val="34"/>
    <w:qFormat/>
    <w:rsid w:val="00A375B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26CBF"/>
  </w:style>
  <w:style w:type="paragraph" w:styleId="ad">
    <w:name w:val="footer"/>
    <w:basedOn w:val="a"/>
    <w:link w:val="ae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6CBF"/>
  </w:style>
  <w:style w:type="paragraph" w:styleId="af">
    <w:name w:val="No Spacing"/>
    <w:uiPriority w:val="1"/>
    <w:qFormat/>
    <w:rsid w:val="00E1552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uiPriority w:val="10"/>
    <w:qFormat/>
    <w:rsid w:val="00BF1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F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6E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45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641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E33F2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2E33F2"/>
    <w:rPr>
      <w:rFonts w:ascii="Consolas" w:hAnsi="Consolas" w:cs="Times New Roman"/>
      <w:sz w:val="21"/>
      <w:szCs w:val="21"/>
      <w:lang w:eastAsia="ru-RU"/>
    </w:rPr>
  </w:style>
  <w:style w:type="character" w:styleId="a5">
    <w:name w:val="Hyperlink"/>
    <w:basedOn w:val="a0"/>
    <w:uiPriority w:val="99"/>
    <w:unhideWhenUsed/>
    <w:rsid w:val="002E33F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45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641F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6E1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06E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06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EF9"/>
    <w:rPr>
      <w:rFonts w:ascii="Tahoma" w:hAnsi="Tahoma" w:cs="Tahoma"/>
      <w:sz w:val="16"/>
      <w:szCs w:val="16"/>
    </w:rPr>
  </w:style>
  <w:style w:type="character" w:customStyle="1" w:styleId="squot">
    <w:name w:val="squot"/>
    <w:basedOn w:val="a0"/>
    <w:rsid w:val="00113C9B"/>
  </w:style>
  <w:style w:type="character" w:customStyle="1" w:styleId="apple-style-span">
    <w:name w:val="apple-style-span"/>
    <w:basedOn w:val="a0"/>
    <w:rsid w:val="00530125"/>
  </w:style>
  <w:style w:type="character" w:customStyle="1" w:styleId="apple-converted-space">
    <w:name w:val="apple-converted-space"/>
    <w:basedOn w:val="a0"/>
    <w:rsid w:val="007B13F5"/>
  </w:style>
  <w:style w:type="paragraph" w:styleId="a9">
    <w:name w:val="caption"/>
    <w:basedOn w:val="a"/>
    <w:next w:val="a"/>
    <w:uiPriority w:val="35"/>
    <w:unhideWhenUsed/>
    <w:qFormat/>
    <w:rsid w:val="00D90341"/>
    <w:pPr>
      <w:spacing w:line="240" w:lineRule="auto"/>
    </w:pPr>
    <w:rPr>
      <w:rFonts w:ascii="Calibri" w:eastAsia="Calibri" w:hAnsi="Calibri" w:cs="Times New Roman"/>
      <w:b/>
      <w:bCs/>
      <w:color w:val="4F81BD"/>
      <w:sz w:val="18"/>
      <w:szCs w:val="18"/>
    </w:rPr>
  </w:style>
  <w:style w:type="paragraph" w:styleId="aa">
    <w:name w:val="List Paragraph"/>
    <w:basedOn w:val="a"/>
    <w:uiPriority w:val="34"/>
    <w:qFormat/>
    <w:rsid w:val="00A375BF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26CBF"/>
  </w:style>
  <w:style w:type="paragraph" w:styleId="ad">
    <w:name w:val="footer"/>
    <w:basedOn w:val="a"/>
    <w:link w:val="ae"/>
    <w:uiPriority w:val="99"/>
    <w:semiHidden/>
    <w:unhideWhenUsed/>
    <w:rsid w:val="00726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26CBF"/>
  </w:style>
  <w:style w:type="paragraph" w:styleId="af">
    <w:name w:val="No Spacing"/>
    <w:uiPriority w:val="1"/>
    <w:qFormat/>
    <w:rsid w:val="00E15527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Title"/>
    <w:basedOn w:val="a"/>
    <w:next w:val="a"/>
    <w:link w:val="af1"/>
    <w:uiPriority w:val="10"/>
    <w:qFormat/>
    <w:rsid w:val="00BF1A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BF1A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anzhos@ncapi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5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Perminova Anastasiya</dc:creator>
  <cp:lastModifiedBy>Perminova Anastasia</cp:lastModifiedBy>
  <cp:revision>141</cp:revision>
  <dcterms:created xsi:type="dcterms:W3CDTF">2012-09-24T05:45:00Z</dcterms:created>
  <dcterms:modified xsi:type="dcterms:W3CDTF">2013-09-02T08:52:00Z</dcterms:modified>
</cp:coreProperties>
</file>