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71" w:rsidRPr="00854271" w:rsidRDefault="00854271">
      <w:pPr>
        <w:rPr>
          <w:rFonts w:ascii="Arial" w:hAnsi="Arial" w:cs="Arial"/>
          <w:sz w:val="24"/>
          <w:szCs w:val="24"/>
        </w:rPr>
      </w:pPr>
      <w:r w:rsidRPr="00854271">
        <w:rPr>
          <w:rFonts w:ascii="Arial" w:hAnsi="Arial" w:cs="Arial"/>
          <w:color w:val="002060"/>
          <w:sz w:val="24"/>
          <w:szCs w:val="24"/>
        </w:rPr>
        <w:t>Ольга Беленькая,</w:t>
      </w:r>
      <w:r w:rsidRPr="00854271">
        <w:rPr>
          <w:rFonts w:ascii="Arial" w:hAnsi="Arial" w:cs="Arial"/>
          <w:sz w:val="24"/>
          <w:szCs w:val="24"/>
        </w:rPr>
        <w:t xml:space="preserve"> </w:t>
      </w:r>
      <w:r w:rsidRPr="00854271">
        <w:rPr>
          <w:rFonts w:ascii="Arial" w:hAnsi="Arial" w:cs="Arial"/>
          <w:color w:val="002060"/>
          <w:sz w:val="24"/>
          <w:szCs w:val="24"/>
        </w:rPr>
        <w:t>зам. руководителя аналитического департамент</w:t>
      </w:r>
      <w:proofErr w:type="gramStart"/>
      <w:r w:rsidRPr="00854271">
        <w:rPr>
          <w:rFonts w:ascii="Arial" w:hAnsi="Arial" w:cs="Arial"/>
          <w:color w:val="002060"/>
          <w:sz w:val="24"/>
          <w:szCs w:val="24"/>
        </w:rPr>
        <w:t>а ООО</w:t>
      </w:r>
      <w:proofErr w:type="gramEnd"/>
      <w:r w:rsidRPr="00854271">
        <w:rPr>
          <w:rFonts w:ascii="Arial" w:hAnsi="Arial" w:cs="Arial"/>
          <w:color w:val="002060"/>
          <w:sz w:val="24"/>
          <w:szCs w:val="24"/>
        </w:rPr>
        <w:t xml:space="preserve"> "СОВЛИНК"</w:t>
      </w:r>
      <w:r>
        <w:rPr>
          <w:rFonts w:ascii="Arial" w:hAnsi="Arial" w:cs="Arial"/>
          <w:sz w:val="24"/>
          <w:szCs w:val="24"/>
        </w:rPr>
        <w:t>:</w:t>
      </w:r>
    </w:p>
    <w:p w:rsidR="00854271" w:rsidRPr="00854271" w:rsidRDefault="00854271">
      <w:pPr>
        <w:rPr>
          <w:rFonts w:ascii="Arial" w:hAnsi="Arial" w:cs="Arial"/>
          <w:sz w:val="24"/>
          <w:szCs w:val="24"/>
        </w:rPr>
      </w:pPr>
    </w:p>
    <w:p w:rsidR="00EE371C" w:rsidRPr="00854271" w:rsidRDefault="00854271">
      <w:pPr>
        <w:rPr>
          <w:rFonts w:ascii="Arial" w:hAnsi="Arial" w:cs="Arial"/>
          <w:sz w:val="24"/>
          <w:szCs w:val="24"/>
        </w:rPr>
      </w:pPr>
      <w:r w:rsidRPr="00854271">
        <w:rPr>
          <w:rFonts w:ascii="Arial" w:hAnsi="Arial" w:cs="Arial"/>
          <w:sz w:val="24"/>
          <w:szCs w:val="24"/>
        </w:rPr>
        <w:t xml:space="preserve">На прошлой неделе российский рынок акций продолжил попытки роста к локальным максимумам, достигнутым в середине июня. Поддержку оказал неожиданный прогресс на европейском саммите в конце недели, надежд на который из-за разногласий между странами уже почти не оставалось. Тем сильнее рынки отреагировали на несколько решений саммита, принятых для поддержки стабильности рынков. Рост усиливался закрытием коротких позиций, открытых ранее в расчете на отсутствие конкретных решений. </w:t>
      </w:r>
      <w:proofErr w:type="gramStart"/>
      <w:r w:rsidRPr="00854271">
        <w:rPr>
          <w:rFonts w:ascii="Arial" w:hAnsi="Arial" w:cs="Arial"/>
          <w:sz w:val="24"/>
          <w:szCs w:val="24"/>
        </w:rPr>
        <w:t xml:space="preserve">По итогам недели индекс ММВБ повысился на 3,0%, закрывшись выше 1387, индекс РТС увеличился на 5,4%. Между тем, отток средств глобальных фондов из российских акций продолжился на прошлой неделе и составил, по данным EPFR, $41 млн.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Главные результаты саммита: 1) кредиты ESM и EFSF на </w:t>
      </w:r>
      <w:proofErr w:type="spellStart"/>
      <w:r w:rsidRPr="00854271">
        <w:rPr>
          <w:rFonts w:ascii="Arial" w:hAnsi="Arial" w:cs="Arial"/>
          <w:sz w:val="24"/>
          <w:szCs w:val="24"/>
        </w:rPr>
        <w:t>рекапитализацию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испанских банков не будут обладать приоритетным статусом по отношению к требованиям частных кредиторов в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271">
        <w:rPr>
          <w:rFonts w:ascii="Arial" w:hAnsi="Arial" w:cs="Arial"/>
          <w:sz w:val="24"/>
          <w:szCs w:val="24"/>
        </w:rPr>
        <w:t xml:space="preserve">случае реструктуризации госдолга (что снижает риски инвестирования в </w:t>
      </w:r>
      <w:proofErr w:type="spellStart"/>
      <w:r w:rsidRPr="00854271">
        <w:rPr>
          <w:rFonts w:ascii="Arial" w:hAnsi="Arial" w:cs="Arial"/>
          <w:sz w:val="24"/>
          <w:szCs w:val="24"/>
        </w:rPr>
        <w:t>гособлигации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Испании); 2) средства антикризисных фондов могут в будущем направляться непосредственно на кредитование банков, не увеличивая госдолг запросившей их страны (после создания единой системы банковского надзора), что призвано разорвать порочный круг взаимного усугубления долговых проблем госсектора и банков.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271">
        <w:rPr>
          <w:rFonts w:ascii="Arial" w:hAnsi="Arial" w:cs="Arial"/>
          <w:sz w:val="24"/>
          <w:szCs w:val="24"/>
        </w:rPr>
        <w:t xml:space="preserve">Единая надзорная система для банков должна быть проработана к концу 2012 г.; 3) Одобрено гибкое использование антикризисных фондов для стабилизации рынков госдолга стран еврозоны без дополнительных требований к сокращению бюджетных дефицитов, которые применяются сейчас к Греции, Ирландии и Португалии (что теоретически дает основания фондам покупать на первичном и вторичном рынке </w:t>
      </w:r>
      <w:proofErr w:type="spellStart"/>
      <w:r w:rsidRPr="00854271">
        <w:rPr>
          <w:rFonts w:ascii="Arial" w:hAnsi="Arial" w:cs="Arial"/>
          <w:sz w:val="24"/>
          <w:szCs w:val="24"/>
        </w:rPr>
        <w:t>гособлигации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Испании и Италии).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 Однако, вопреки требованиям итальянского премьера М. </w:t>
      </w:r>
      <w:proofErr w:type="spellStart"/>
      <w:r w:rsidRPr="00854271">
        <w:rPr>
          <w:rFonts w:ascii="Arial" w:hAnsi="Arial" w:cs="Arial"/>
          <w:sz w:val="24"/>
          <w:szCs w:val="24"/>
        </w:rPr>
        <w:t>Монти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, этот механизм не будет автоматически включаться при достижении порогового  значения стоимости заимствований для страны, нет ясности в отношении механизмов и возможных объемов интервенций. Решения саммита должны быть одобрены </w:t>
      </w:r>
      <w:proofErr w:type="spellStart"/>
      <w:r w:rsidRPr="00854271">
        <w:rPr>
          <w:rFonts w:ascii="Arial" w:hAnsi="Arial" w:cs="Arial"/>
          <w:sz w:val="24"/>
          <w:szCs w:val="24"/>
        </w:rPr>
        <w:t>Еврогруппой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9 июля.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Наиболее значимые среднесрочные результаты саммита – согласование создания интегрированной банковской и бюджетной системы, что может стать основой для механизма коллективной ответственности </w:t>
      </w:r>
      <w:proofErr w:type="gramStart"/>
      <w:r w:rsidRPr="00854271">
        <w:rPr>
          <w:rFonts w:ascii="Arial" w:hAnsi="Arial" w:cs="Arial"/>
          <w:sz w:val="24"/>
          <w:szCs w:val="24"/>
        </w:rPr>
        <w:t>по долгу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 (в частности, выпуск общеевропейских еврооблигаций) и общеевропейской системы поддержки банков. Промежуточный план мероприятий будет рассмотрен на октябрьском саммите ЕС, окончательный – в конце года.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Решения саммита в пятницу вызвало отскок наверх мировых фондовых индексов, евро, сырьевых товаров. Резко снизились доходности </w:t>
      </w:r>
      <w:proofErr w:type="gramStart"/>
      <w:r w:rsidRPr="00854271">
        <w:rPr>
          <w:rFonts w:ascii="Arial" w:hAnsi="Arial" w:cs="Arial"/>
          <w:sz w:val="24"/>
          <w:szCs w:val="24"/>
        </w:rPr>
        <w:t>итальянских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 и испанских </w:t>
      </w:r>
      <w:proofErr w:type="spellStart"/>
      <w:r w:rsidRPr="00854271">
        <w:rPr>
          <w:rFonts w:ascii="Arial" w:hAnsi="Arial" w:cs="Arial"/>
          <w:sz w:val="24"/>
          <w:szCs w:val="24"/>
        </w:rPr>
        <w:t>гособлигаций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. Между тем, мы ожидаем, что положительное влияние принятых решений будет ограниченным, прежде всего, из-за значительного превышения </w:t>
      </w:r>
      <w:r w:rsidRPr="00854271">
        <w:rPr>
          <w:rFonts w:ascii="Arial" w:hAnsi="Arial" w:cs="Arial"/>
          <w:sz w:val="24"/>
          <w:szCs w:val="24"/>
        </w:rPr>
        <w:lastRenderedPageBreak/>
        <w:t xml:space="preserve">госдолга Италии и Испании (2,4 </w:t>
      </w:r>
      <w:proofErr w:type="spellStart"/>
      <w:proofErr w:type="gramStart"/>
      <w:r w:rsidRPr="00854271">
        <w:rPr>
          <w:rFonts w:ascii="Arial" w:hAnsi="Arial" w:cs="Arial"/>
          <w:sz w:val="24"/>
          <w:szCs w:val="24"/>
        </w:rPr>
        <w:t>трлн</w:t>
      </w:r>
      <w:proofErr w:type="spellEnd"/>
      <w:proofErr w:type="gramEnd"/>
      <w:r w:rsidRPr="00854271">
        <w:rPr>
          <w:rFonts w:ascii="Arial" w:hAnsi="Arial" w:cs="Arial"/>
          <w:sz w:val="24"/>
          <w:szCs w:val="24"/>
        </w:rPr>
        <w:t xml:space="preserve"> евро) над потенциальными ресурсами двух антикризисных фондов (500 </w:t>
      </w:r>
      <w:proofErr w:type="spellStart"/>
      <w:r w:rsidRPr="00854271">
        <w:rPr>
          <w:rFonts w:ascii="Arial" w:hAnsi="Arial" w:cs="Arial"/>
          <w:sz w:val="24"/>
          <w:szCs w:val="24"/>
        </w:rPr>
        <w:t>млрд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евро, пока же кредитная мощность действующего сейчас EFSF составляет всего лишь 250 </w:t>
      </w:r>
      <w:proofErr w:type="spellStart"/>
      <w:r w:rsidRPr="00854271">
        <w:rPr>
          <w:rFonts w:ascii="Arial" w:hAnsi="Arial" w:cs="Arial"/>
          <w:sz w:val="24"/>
          <w:szCs w:val="24"/>
        </w:rPr>
        <w:t>млрд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евро). Достаточный объем ресурсов для интервенций сейчас мог бы обеспечить только ЕЦБ, однако  пока не решен вопрос наделения ESM, запуск которого запланирован на 9 июля, банковской лицензией, что позволило бы ему привлекать заимствования у ЕЦБ. И даже позитив в отношении Испании сдерживается тем, что сейчас (до создания банковского союза) она не сможет воспользоваться прямой </w:t>
      </w:r>
      <w:proofErr w:type="spellStart"/>
      <w:r w:rsidRPr="00854271">
        <w:rPr>
          <w:rFonts w:ascii="Arial" w:hAnsi="Arial" w:cs="Arial"/>
          <w:sz w:val="24"/>
          <w:szCs w:val="24"/>
        </w:rPr>
        <w:t>рекапитализацией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банков.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Тем временем статистика, выходившая в еврозоне и Японии, указывает на ухудшение экономической ситуации (в частности, неожиданное снижение розничных продаж и рост безработицы в Германии). В США потребительские расходы в мае </w:t>
      </w:r>
      <w:proofErr w:type="spellStart"/>
      <w:r w:rsidRPr="00854271">
        <w:rPr>
          <w:rFonts w:ascii="Arial" w:hAnsi="Arial" w:cs="Arial"/>
          <w:sz w:val="24"/>
          <w:szCs w:val="24"/>
        </w:rPr>
        <w:t>стагнировали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, а апрельский рост пересмотрен с 0,3% до 0,1%, к тому же снижение индекса потребительского доверия в июне превысило ожидания рынка. В сочетании с неоднозначными данными по </w:t>
      </w:r>
      <w:proofErr w:type="spellStart"/>
      <w:r w:rsidRPr="00854271">
        <w:rPr>
          <w:rFonts w:ascii="Arial" w:hAnsi="Arial" w:cs="Arial"/>
          <w:sz w:val="24"/>
          <w:szCs w:val="24"/>
        </w:rPr>
        <w:t>промпроизводству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данные предполагают вероятное замедление роста американской экономики во 2Q.  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>Среди лидеров роста недели на российском рынке можно отметить акции финансового сектора (отраслевой индекс ММВБ повысился на 6,2%, в основном за счет акций банков второго эшелона</w:t>
      </w:r>
      <w:proofErr w:type="gramStart"/>
      <w:r w:rsidRPr="00854271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, что вполне естественно – ведь банковский бизнес самым непосредственным образом связан с ситуацией на финансовых рынках. Заметно подорожали и акции производителей удобрений – </w:t>
      </w:r>
      <w:proofErr w:type="spellStart"/>
      <w:r w:rsidRPr="00854271">
        <w:rPr>
          <w:rFonts w:ascii="Arial" w:hAnsi="Arial" w:cs="Arial"/>
          <w:sz w:val="24"/>
          <w:szCs w:val="24"/>
        </w:rPr>
        <w:t>Уралкалий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(+8,9%), </w:t>
      </w:r>
      <w:proofErr w:type="spellStart"/>
      <w:r w:rsidRPr="00854271">
        <w:rPr>
          <w:rFonts w:ascii="Arial" w:hAnsi="Arial" w:cs="Arial"/>
          <w:sz w:val="24"/>
          <w:szCs w:val="24"/>
        </w:rPr>
        <w:t>Фосагро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(+8,2%). Хуже рынка выглядел металлургический сектор, реагируя на слабые данные по мировой экономике. Стабильно росли  компании, поддерживающие программы выкупа собственных акций – </w:t>
      </w:r>
      <w:proofErr w:type="spellStart"/>
      <w:r w:rsidRPr="00854271">
        <w:rPr>
          <w:rFonts w:ascii="Arial" w:hAnsi="Arial" w:cs="Arial"/>
          <w:sz w:val="24"/>
          <w:szCs w:val="24"/>
        </w:rPr>
        <w:t>Лукойл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4271">
        <w:rPr>
          <w:rFonts w:ascii="Arial" w:hAnsi="Arial" w:cs="Arial"/>
          <w:sz w:val="24"/>
          <w:szCs w:val="24"/>
        </w:rPr>
        <w:t>Уралкалий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, ГМК </w:t>
      </w:r>
      <w:proofErr w:type="spellStart"/>
      <w:r w:rsidRPr="00854271">
        <w:rPr>
          <w:rFonts w:ascii="Arial" w:hAnsi="Arial" w:cs="Arial"/>
          <w:sz w:val="24"/>
          <w:szCs w:val="24"/>
        </w:rPr>
        <w:t>Норникель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. В целом информационный фон недели поддерживали многочисленные ГОСА российских компаний.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>В пятницу российский рынок вырвался наверх на фоне решений саммита, вызвавших ро</w:t>
      </w:r>
      <w:proofErr w:type="gramStart"/>
      <w:r w:rsidRPr="00854271">
        <w:rPr>
          <w:rFonts w:ascii="Arial" w:hAnsi="Arial" w:cs="Arial"/>
          <w:sz w:val="24"/>
          <w:szCs w:val="24"/>
        </w:rPr>
        <w:t>ст спр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оса на рисковые активы. Дополнительную поддержку российским акциям оказал рост цен на нефть (+6-9%), котировки </w:t>
      </w:r>
      <w:proofErr w:type="spellStart"/>
      <w:r w:rsidRPr="00854271">
        <w:rPr>
          <w:rFonts w:ascii="Arial" w:hAnsi="Arial" w:cs="Arial"/>
          <w:sz w:val="24"/>
          <w:szCs w:val="24"/>
        </w:rPr>
        <w:t>Brent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превысили $97/</w:t>
      </w:r>
      <w:proofErr w:type="spellStart"/>
      <w:r w:rsidRPr="00854271">
        <w:rPr>
          <w:rFonts w:ascii="Arial" w:hAnsi="Arial" w:cs="Arial"/>
          <w:sz w:val="24"/>
          <w:szCs w:val="24"/>
        </w:rPr>
        <w:t>барр</w:t>
      </w:r>
      <w:proofErr w:type="spellEnd"/>
      <w:r w:rsidRPr="00854271">
        <w:rPr>
          <w:rFonts w:ascii="Arial" w:hAnsi="Arial" w:cs="Arial"/>
          <w:sz w:val="24"/>
          <w:szCs w:val="24"/>
        </w:rPr>
        <w:t>. При общем снижении напряжения на финансовых рынках нефтяные котировки получили поддержку от ослабления доллара и вступающего в силу  с 1 июля эмбарго ЕС на иранскую нефть. По итогам дня индекс ММ</w:t>
      </w:r>
      <w:proofErr w:type="gramStart"/>
      <w:r w:rsidRPr="00854271">
        <w:rPr>
          <w:rFonts w:ascii="Arial" w:hAnsi="Arial" w:cs="Arial"/>
          <w:sz w:val="24"/>
          <w:szCs w:val="24"/>
        </w:rPr>
        <w:t>ВБ взл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етел на 3,3%, индекс РТС – на 5,4%.  Среди российских акций в лидеры роста вышли банковские и металлургические бумаги: Сбербанк (+4,3%), ВТБ (+6,3%), банк «Возрождение» (+7,7%), </w:t>
      </w:r>
      <w:proofErr w:type="spellStart"/>
      <w:r w:rsidRPr="00854271">
        <w:rPr>
          <w:rFonts w:ascii="Arial" w:hAnsi="Arial" w:cs="Arial"/>
          <w:sz w:val="24"/>
          <w:szCs w:val="24"/>
        </w:rPr>
        <w:t>Мечел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(+8,9%), Северсталь (+4,8%).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Европейские фондовые индексы в пятницу показали настоящее ралли (+4-5%). Американские индексы повысились на 2-3%. </w:t>
      </w:r>
      <w:r w:rsidRPr="00854271">
        <w:rPr>
          <w:rFonts w:ascii="Arial" w:hAnsi="Arial" w:cs="Arial"/>
          <w:sz w:val="24"/>
          <w:szCs w:val="24"/>
        </w:rPr>
        <w:br/>
        <w:t xml:space="preserve">С 1 июля в России повышаются тарифы на ЖКХ, электроэнергию (в среднем до 6%), газ (в среднем на 15%), что должно привести к развороту тренда инфляции, где в 1П12 показатели были неестественно низкими для российской экономики из-за переноса сроков повышения тарифов с января на июль.  Вступают в силу </w:t>
      </w:r>
      <w:r w:rsidRPr="00854271">
        <w:rPr>
          <w:rFonts w:ascii="Arial" w:hAnsi="Arial" w:cs="Arial"/>
          <w:sz w:val="24"/>
          <w:szCs w:val="24"/>
        </w:rPr>
        <w:lastRenderedPageBreak/>
        <w:t xml:space="preserve">изменения в банковском регулировании, в соответствии с которыми банкам придется формировать больший буфер капитала под те активы, которые ЦБ относит к группе с повышенным коэффициентом риска.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Последние данные из Азии оказались лучше ожиданий. Опубликованный в воскресенье индекс производственной активности в Китае (50,2) несколько превысил консенсус (49,9), однако снизился по отношению к предыдущему месяцу и находится на годовом минимуме; при этом показатель новых экспортных заказов впервые с января ушел в отрицательную область. Вышедший сегодня утром альтернативный показатель производственной активности в Китае, рассчитываемый HSBC, также показал снижение до минимума с ноября прошлого года, а его значение по-прежнему находится ниже границы в 50, отделяющей рост от спада. Однако результат немного превысил предварительное значение. Индекс доверия бизнеса к японской экономике </w:t>
      </w:r>
      <w:proofErr w:type="spellStart"/>
      <w:r w:rsidRPr="00854271">
        <w:rPr>
          <w:rFonts w:ascii="Arial" w:hAnsi="Arial" w:cs="Arial"/>
          <w:sz w:val="24"/>
          <w:szCs w:val="24"/>
        </w:rPr>
        <w:t>Tankan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также превысил консенсус прогноз и повысился с уровня 1Q (-1 </w:t>
      </w:r>
      <w:proofErr w:type="spellStart"/>
      <w:r w:rsidRPr="00854271">
        <w:rPr>
          <w:rFonts w:ascii="Arial" w:hAnsi="Arial" w:cs="Arial"/>
          <w:sz w:val="24"/>
          <w:szCs w:val="24"/>
        </w:rPr>
        <w:t>vs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-4).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Сегодня утром на мировых рынках отмечается разнонаправленная динамика. Азиатские фондовые индексы торгуются в умеренном плюсе (MSCI </w:t>
      </w:r>
      <w:proofErr w:type="spellStart"/>
      <w:r w:rsidRPr="00854271">
        <w:rPr>
          <w:rFonts w:ascii="Arial" w:hAnsi="Arial" w:cs="Arial"/>
          <w:sz w:val="24"/>
          <w:szCs w:val="24"/>
        </w:rPr>
        <w:t>Asia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271">
        <w:rPr>
          <w:rFonts w:ascii="Arial" w:hAnsi="Arial" w:cs="Arial"/>
          <w:sz w:val="24"/>
          <w:szCs w:val="24"/>
        </w:rPr>
        <w:t>Pacific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+0,4%), нефть и курс евро корректируются вниз, американские фьючерсы перешли из положительной области в небольшой минус.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Открытие российского рынка </w:t>
      </w:r>
      <w:r>
        <w:rPr>
          <w:rFonts w:ascii="Arial" w:hAnsi="Arial" w:cs="Arial"/>
          <w:sz w:val="24"/>
          <w:szCs w:val="24"/>
        </w:rPr>
        <w:t xml:space="preserve">в понедельник произошло </w:t>
      </w:r>
      <w:proofErr w:type="gramStart"/>
      <w:r>
        <w:rPr>
          <w:rFonts w:ascii="Arial" w:hAnsi="Arial" w:cs="Arial"/>
          <w:sz w:val="24"/>
          <w:szCs w:val="24"/>
        </w:rPr>
        <w:t>отрицательным</w:t>
      </w:r>
      <w:proofErr w:type="gramEnd"/>
      <w:r>
        <w:rPr>
          <w:rFonts w:ascii="Arial" w:hAnsi="Arial" w:cs="Arial"/>
          <w:sz w:val="24"/>
          <w:szCs w:val="24"/>
        </w:rPr>
        <w:t>, поскольку</w:t>
      </w:r>
      <w:r w:rsidRPr="00854271">
        <w:rPr>
          <w:rFonts w:ascii="Arial" w:hAnsi="Arial" w:cs="Arial"/>
          <w:sz w:val="24"/>
          <w:szCs w:val="24"/>
        </w:rPr>
        <w:t xml:space="preserve">. Однако, как это не раз случалось ранее, позитива от саммита может надолго не хватить, и уже в течение дня рост может выдохнуться. Основная статистика сегодня – индекс производственной активности в еврозоне и в США, безработица в еврозоне, строительные расходы в США. В еврозоне рынок ожидает увидеть спад </w:t>
      </w:r>
      <w:proofErr w:type="spellStart"/>
      <w:r w:rsidRPr="00854271">
        <w:rPr>
          <w:rFonts w:ascii="Arial" w:hAnsi="Arial" w:cs="Arial"/>
          <w:sz w:val="24"/>
          <w:szCs w:val="24"/>
        </w:rPr>
        <w:t>промпроизводства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11-й месяц подряд и рекордную безработицу, в США – умеренное замедление роста производственной активности.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Основным событием наступившей недели должно стать заседание ЕЦБ 5 июля. Рынок ожидает снижения учетной ставки на 0,25 п.п., что вполне вероятно. Наиболее оптимистичные ожидания связаны с обещанием LTRO-3 или возобновлением покупки ЕЦБ </w:t>
      </w:r>
      <w:proofErr w:type="spellStart"/>
      <w:r w:rsidRPr="00854271">
        <w:rPr>
          <w:rFonts w:ascii="Arial" w:hAnsi="Arial" w:cs="Arial"/>
          <w:sz w:val="24"/>
          <w:szCs w:val="24"/>
        </w:rPr>
        <w:t>гособлигаций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проблемных стран. Еще одно ключевое событие недели - отчет о рынке труда США (</w:t>
      </w:r>
      <w:proofErr w:type="spellStart"/>
      <w:r w:rsidRPr="00854271">
        <w:rPr>
          <w:rFonts w:ascii="Arial" w:hAnsi="Arial" w:cs="Arial"/>
          <w:sz w:val="24"/>
          <w:szCs w:val="24"/>
        </w:rPr>
        <w:t>non-farm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271">
        <w:rPr>
          <w:rFonts w:ascii="Arial" w:hAnsi="Arial" w:cs="Arial"/>
          <w:sz w:val="24"/>
          <w:szCs w:val="24"/>
        </w:rPr>
        <w:t>payrolls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), который рынок ожидает умеренно слабым, но несколько лучше, чем в мае (прирост рабочих мест на 95К против 69К месяцем ранее). 5 июля пройдет размещение испанских </w:t>
      </w:r>
      <w:proofErr w:type="spellStart"/>
      <w:r w:rsidRPr="00854271">
        <w:rPr>
          <w:rFonts w:ascii="Arial" w:hAnsi="Arial" w:cs="Arial"/>
          <w:sz w:val="24"/>
          <w:szCs w:val="24"/>
        </w:rPr>
        <w:t>гособлигаций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, которое покажет, насколько устойчив оптимизм инвесторов, проявившийся в пятницу.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В России завершился период годовых собраний акционеров компаний, среди ожидаемых корпоративных событий  недели – отчетность ВТБ за 1Q12 по МСФО (дата пока не объявлена), результаты Сбербанка за 6М12 по РСБУ (6 июля).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sz w:val="24"/>
          <w:szCs w:val="24"/>
        </w:rPr>
        <w:br/>
        <w:t xml:space="preserve">Мы полагаем, что в первую неделю июля рынок попытается продолжить движение наверх, во всяком </w:t>
      </w:r>
      <w:proofErr w:type="gramStart"/>
      <w:r w:rsidRPr="00854271">
        <w:rPr>
          <w:rFonts w:ascii="Arial" w:hAnsi="Arial" w:cs="Arial"/>
          <w:sz w:val="24"/>
          <w:szCs w:val="24"/>
        </w:rPr>
        <w:t>случае</w:t>
      </w:r>
      <w:proofErr w:type="gramEnd"/>
      <w:r w:rsidRPr="00854271">
        <w:rPr>
          <w:rFonts w:ascii="Arial" w:hAnsi="Arial" w:cs="Arial"/>
          <w:sz w:val="24"/>
          <w:szCs w:val="24"/>
        </w:rPr>
        <w:t xml:space="preserve"> от резкого снижения будут удерживать ожидания </w:t>
      </w:r>
      <w:r w:rsidRPr="00854271">
        <w:rPr>
          <w:rFonts w:ascii="Arial" w:hAnsi="Arial" w:cs="Arial"/>
          <w:sz w:val="24"/>
          <w:szCs w:val="24"/>
        </w:rPr>
        <w:lastRenderedPageBreak/>
        <w:t xml:space="preserve">поддержки со стороны </w:t>
      </w:r>
      <w:proofErr w:type="spellStart"/>
      <w:r w:rsidRPr="00854271">
        <w:rPr>
          <w:rFonts w:ascii="Arial" w:hAnsi="Arial" w:cs="Arial"/>
          <w:sz w:val="24"/>
          <w:szCs w:val="24"/>
        </w:rPr>
        <w:t>центробанков</w:t>
      </w:r>
      <w:proofErr w:type="spellEnd"/>
      <w:r w:rsidRPr="00854271">
        <w:rPr>
          <w:rFonts w:ascii="Arial" w:hAnsi="Arial" w:cs="Arial"/>
          <w:sz w:val="24"/>
          <w:szCs w:val="24"/>
        </w:rPr>
        <w:t xml:space="preserve"> (учитывая предстоящее заседание ЕЦБ). В дальнейшем продолжение роста будет зависеть от того, получат ли инвесторы подтверждение готовности антикризисных фондов и ЕЦБ поддержать на приемлемом уровне стоимость заимствований для Италии и Испании. </w:t>
      </w:r>
      <w:r w:rsidRPr="00854271">
        <w:rPr>
          <w:rFonts w:ascii="Arial" w:hAnsi="Arial" w:cs="Arial"/>
          <w:sz w:val="24"/>
          <w:szCs w:val="24"/>
        </w:rPr>
        <w:br/>
        <w:t xml:space="preserve">  </w:t>
      </w:r>
      <w:r w:rsidRPr="00854271">
        <w:rPr>
          <w:rFonts w:ascii="Arial" w:hAnsi="Arial" w:cs="Arial"/>
          <w:sz w:val="24"/>
          <w:szCs w:val="24"/>
        </w:rPr>
        <w:br/>
      </w:r>
      <w:r w:rsidRPr="00854271">
        <w:rPr>
          <w:rFonts w:ascii="Arial" w:hAnsi="Arial" w:cs="Arial"/>
          <w:color w:val="002060"/>
          <w:sz w:val="24"/>
          <w:szCs w:val="24"/>
        </w:rPr>
        <w:t> </w:t>
      </w:r>
      <w:r w:rsidRPr="00854271">
        <w:rPr>
          <w:rFonts w:ascii="Arial" w:hAnsi="Arial" w:cs="Arial"/>
          <w:sz w:val="24"/>
          <w:szCs w:val="24"/>
        </w:rPr>
        <w:t xml:space="preserve"> </w:t>
      </w:r>
      <w:r w:rsidRPr="00854271">
        <w:rPr>
          <w:rFonts w:ascii="Arial" w:hAnsi="Arial" w:cs="Arial"/>
          <w:sz w:val="24"/>
          <w:szCs w:val="24"/>
        </w:rPr>
        <w:br/>
      </w:r>
    </w:p>
    <w:sectPr w:rsidR="00EE371C" w:rsidRPr="00854271" w:rsidSect="00E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271"/>
    <w:rsid w:val="00854271"/>
    <w:rsid w:val="00C5073A"/>
    <w:rsid w:val="00E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1286</Words>
  <Characters>7333</Characters>
  <Application>Microsoft Office Word</Application>
  <DocSecurity>0</DocSecurity>
  <Lines>61</Lines>
  <Paragraphs>17</Paragraphs>
  <ScaleCrop>false</ScaleCrop>
  <Company>Finam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2012-07-02T08:34:00Z</dcterms:created>
  <dcterms:modified xsi:type="dcterms:W3CDTF">2012-07-02T08:47:00Z</dcterms:modified>
</cp:coreProperties>
</file>