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C4" w:rsidRDefault="006365C4" w:rsidP="006365C4">
      <w:pPr>
        <w:spacing w:before="100" w:beforeAutospacing="1" w:after="240"/>
        <w:jc w:val="both"/>
        <w:rPr>
          <w:rFonts w:asciiTheme="minorHAnsi" w:hAnsiTheme="minorHAnsi" w:cstheme="minorHAnsi"/>
        </w:rPr>
      </w:pPr>
      <w:r>
        <w:rPr>
          <w:rFonts w:asciiTheme="minorHAnsi" w:hAnsiTheme="minorHAnsi" w:cstheme="minorHAnsi"/>
        </w:rPr>
        <w:t>Уважаемые коллеги!</w:t>
      </w:r>
    </w:p>
    <w:p w:rsidR="006365C4" w:rsidRDefault="006365C4" w:rsidP="006365C4">
      <w:pPr>
        <w:spacing w:before="100" w:beforeAutospacing="1" w:after="240"/>
        <w:jc w:val="both"/>
        <w:rPr>
          <w:rFonts w:asciiTheme="minorHAnsi" w:hAnsiTheme="minorHAnsi" w:cstheme="minorHAnsi"/>
        </w:rPr>
      </w:pPr>
      <w:r>
        <w:rPr>
          <w:rFonts w:asciiTheme="minorHAnsi" w:hAnsiTheme="minorHAnsi" w:cstheme="minorHAnsi"/>
        </w:rPr>
        <w:t>Предлагаем вашему вниманию Еженедельный обзор с прогнозами на предстоящую неделю (2 — 6 апреля) от ИГ "Норд-Капитал". Искренне надеемся, что он окажется полезным в вашей работе, и вы сможете использовать его в своих публикациях.</w:t>
      </w:r>
    </w:p>
    <w:p w:rsidR="006365C4" w:rsidRDefault="006365C4" w:rsidP="006365C4">
      <w:pPr>
        <w:pStyle w:val="1"/>
        <w:spacing w:before="480" w:beforeAutospacing="0" w:after="0" w:afterAutospacing="0"/>
        <w:rPr>
          <w:rFonts w:asciiTheme="minorHAnsi" w:eastAsiaTheme="minorHAnsi" w:hAnsiTheme="minorHAnsi" w:cstheme="minorHAnsi"/>
          <w:color w:val="365F91"/>
          <w:sz w:val="36"/>
          <w:szCs w:val="36"/>
        </w:rPr>
      </w:pPr>
      <w:r>
        <w:rPr>
          <w:rFonts w:asciiTheme="minorHAnsi" w:eastAsiaTheme="minorHAnsi" w:hAnsiTheme="minorHAnsi" w:cstheme="minorHAnsi"/>
          <w:color w:val="365F91"/>
          <w:sz w:val="36"/>
          <w:szCs w:val="36"/>
        </w:rPr>
        <w:t>Страхи, жадность, сплетни и реальность</w:t>
      </w:r>
    </w:p>
    <w:p w:rsidR="006365C4" w:rsidRDefault="006365C4" w:rsidP="006365C4">
      <w:pPr>
        <w:spacing w:before="100" w:beforeAutospacing="1" w:after="240"/>
        <w:jc w:val="both"/>
        <w:rPr>
          <w:rFonts w:asciiTheme="minorHAnsi" w:eastAsia="MS Mincho" w:hAnsiTheme="minorHAnsi" w:cstheme="minorHAnsi"/>
          <w:b/>
          <w:color w:val="548DD4" w:themeColor="text2" w:themeTint="99"/>
        </w:rPr>
      </w:pPr>
      <w:r>
        <w:rPr>
          <w:rFonts w:asciiTheme="minorHAnsi" w:eastAsia="MS Mincho" w:hAnsiTheme="minorHAnsi" w:cstheme="minorHAnsi"/>
          <w:b/>
          <w:color w:val="548DD4" w:themeColor="text2" w:themeTint="99"/>
        </w:rPr>
        <w:t>Основные дальнейшие сценарии</w:t>
      </w:r>
    </w:p>
    <w:p w:rsidR="006365C4" w:rsidRDefault="006365C4" w:rsidP="006365C4">
      <w:pPr>
        <w:spacing w:line="20" w:lineRule="atLeast"/>
        <w:jc w:val="both"/>
        <w:rPr>
          <w:rFonts w:asciiTheme="minorHAnsi" w:hAnsiTheme="minorHAnsi" w:cstheme="minorHAnsi"/>
        </w:rPr>
      </w:pPr>
      <w:r>
        <w:rPr>
          <w:rFonts w:asciiTheme="minorHAnsi" w:hAnsiTheme="minorHAnsi" w:cstheme="minorHAnsi"/>
        </w:rPr>
        <w:t xml:space="preserve">В последнее время портфельным управляющим приходится верить не только в цифры и факты, но и в различные сомнительные приметы. Последняя неделя, во-первых, многих спустила «с небес на землю», однако заметного оживления «медведей» мы тоже не заметили. </w:t>
      </w:r>
      <w:proofErr w:type="gramStart"/>
      <w:r>
        <w:rPr>
          <w:rFonts w:asciiTheme="minorHAnsi" w:hAnsiTheme="minorHAnsi" w:cstheme="minorHAnsi"/>
        </w:rPr>
        <w:t xml:space="preserve">За неделю индекс ММВБ упал на 4.8%, индекс РТС - на 4.6%, тогда как сводный индекс развивающихся рынков </w:t>
      </w:r>
      <w:r>
        <w:rPr>
          <w:rFonts w:asciiTheme="minorHAnsi" w:hAnsiTheme="minorHAnsi" w:cstheme="minorHAnsi"/>
          <w:lang w:val="en-US"/>
        </w:rPr>
        <w:t>MSCI</w:t>
      </w:r>
      <w:r w:rsidRPr="006365C4">
        <w:rPr>
          <w:rFonts w:asciiTheme="minorHAnsi" w:hAnsiTheme="minorHAnsi" w:cstheme="minorHAnsi"/>
        </w:rPr>
        <w:t xml:space="preserve"> </w:t>
      </w:r>
      <w:r>
        <w:rPr>
          <w:rFonts w:asciiTheme="minorHAnsi" w:hAnsiTheme="minorHAnsi" w:cstheme="minorHAnsi"/>
          <w:lang w:val="en-US"/>
        </w:rPr>
        <w:t>Emerging</w:t>
      </w:r>
      <w:r w:rsidRPr="006365C4">
        <w:rPr>
          <w:rFonts w:asciiTheme="minorHAnsi" w:hAnsiTheme="minorHAnsi" w:cstheme="minorHAnsi"/>
        </w:rPr>
        <w:t xml:space="preserve"> </w:t>
      </w:r>
      <w:r>
        <w:rPr>
          <w:rFonts w:asciiTheme="minorHAnsi" w:hAnsiTheme="minorHAnsi" w:cstheme="minorHAnsi"/>
          <w:lang w:val="en-US"/>
        </w:rPr>
        <w:t>Markets</w:t>
      </w:r>
      <w:r>
        <w:rPr>
          <w:rFonts w:asciiTheme="minorHAnsi" w:hAnsiTheme="minorHAnsi" w:cstheme="minorHAnsi"/>
        </w:rPr>
        <w:t xml:space="preserve">  – наоборот, вырос за ту же непростую прошлую неделю на 0.9%. Впрочем, по данным </w:t>
      </w:r>
      <w:proofErr w:type="spellStart"/>
      <w:r>
        <w:rPr>
          <w:rFonts w:asciiTheme="minorHAnsi" w:hAnsiTheme="minorHAnsi" w:cstheme="minorHAnsi"/>
        </w:rPr>
        <w:t>Emerging</w:t>
      </w:r>
      <w:proofErr w:type="spellEnd"/>
      <w:r>
        <w:rPr>
          <w:rFonts w:asciiTheme="minorHAnsi" w:hAnsiTheme="minorHAnsi" w:cstheme="minorHAnsi"/>
        </w:rPr>
        <w:t xml:space="preserve"> </w:t>
      </w:r>
      <w:proofErr w:type="spellStart"/>
      <w:r>
        <w:rPr>
          <w:rFonts w:asciiTheme="minorHAnsi" w:hAnsiTheme="minorHAnsi" w:cstheme="minorHAnsi"/>
        </w:rPr>
        <w:t>Portfolio</w:t>
      </w:r>
      <w:proofErr w:type="spellEnd"/>
      <w:r>
        <w:rPr>
          <w:rFonts w:asciiTheme="minorHAnsi" w:hAnsiTheme="minorHAnsi" w:cstheme="minorHAnsi"/>
        </w:rPr>
        <w:t xml:space="preserve"> </w:t>
      </w:r>
      <w:proofErr w:type="spellStart"/>
      <w:r>
        <w:rPr>
          <w:rFonts w:asciiTheme="minorHAnsi" w:hAnsiTheme="minorHAnsi" w:cstheme="minorHAnsi"/>
        </w:rPr>
        <w:t>Fund</w:t>
      </w:r>
      <w:proofErr w:type="spellEnd"/>
      <w:r>
        <w:rPr>
          <w:rFonts w:asciiTheme="minorHAnsi" w:hAnsiTheme="minorHAnsi" w:cstheme="minorHAnsi"/>
        </w:rPr>
        <w:t xml:space="preserve"> </w:t>
      </w:r>
      <w:proofErr w:type="spellStart"/>
      <w:r>
        <w:rPr>
          <w:rFonts w:asciiTheme="minorHAnsi" w:hAnsiTheme="minorHAnsi" w:cstheme="minorHAnsi"/>
        </w:rPr>
        <w:t>Research</w:t>
      </w:r>
      <w:proofErr w:type="spellEnd"/>
      <w:r>
        <w:rPr>
          <w:rFonts w:asciiTheme="minorHAnsi" w:hAnsiTheme="minorHAnsi" w:cstheme="minorHAnsi"/>
        </w:rPr>
        <w:t xml:space="preserve"> (EPFR), за рассматриваемый интервал времени западные инвесторы вывели из всех (не только российских!) фондов </w:t>
      </w:r>
      <w:proofErr w:type="spellStart"/>
      <w:r>
        <w:rPr>
          <w:rFonts w:asciiTheme="minorHAnsi" w:hAnsiTheme="minorHAnsi" w:cstheme="minorHAnsi"/>
        </w:rPr>
        <w:t>emerging</w:t>
      </w:r>
      <w:proofErr w:type="spellEnd"/>
      <w:r>
        <w:rPr>
          <w:rFonts w:asciiTheme="minorHAnsi" w:hAnsiTheme="minorHAnsi" w:cstheme="minorHAnsi"/>
        </w:rPr>
        <w:t xml:space="preserve"> </w:t>
      </w:r>
      <w:proofErr w:type="spellStart"/>
      <w:r>
        <w:rPr>
          <w:rFonts w:asciiTheme="minorHAnsi" w:hAnsiTheme="minorHAnsi" w:cstheme="minorHAnsi"/>
        </w:rPr>
        <w:t>markets</w:t>
      </w:r>
      <w:proofErr w:type="spellEnd"/>
      <w:r>
        <w:rPr>
          <w:rFonts w:asciiTheme="minorHAnsi" w:hAnsiTheme="minorHAnsi" w:cstheme="minorHAnsi"/>
        </w:rPr>
        <w:t xml:space="preserve"> $127 млн., тогда как ещё неделю назад</w:t>
      </w:r>
      <w:proofErr w:type="gramEnd"/>
      <w:r>
        <w:rPr>
          <w:rFonts w:asciiTheme="minorHAnsi" w:hAnsiTheme="minorHAnsi" w:cstheme="minorHAnsi"/>
        </w:rPr>
        <w:t xml:space="preserve"> агентство фиксировало продолжающийся приток в объёме $778 млн. Мы видим, что пресловутые «</w:t>
      </w:r>
      <w:proofErr w:type="gramStart"/>
      <w:r>
        <w:rPr>
          <w:rFonts w:asciiTheme="minorHAnsi" w:hAnsiTheme="minorHAnsi" w:cstheme="minorHAnsi"/>
        </w:rPr>
        <w:t>аппетиты к рискам</w:t>
      </w:r>
      <w:proofErr w:type="gramEnd"/>
      <w:r>
        <w:rPr>
          <w:rFonts w:asciiTheme="minorHAnsi" w:hAnsiTheme="minorHAnsi" w:cstheme="minorHAnsi"/>
        </w:rPr>
        <w:t>» неожиданно и без особых причин довольно резко снизились, что вряд ли сулит моментальное изменение тренда на текущей неделе.</w:t>
      </w:r>
    </w:p>
    <w:p w:rsidR="006365C4" w:rsidRDefault="006365C4" w:rsidP="006365C4">
      <w:pPr>
        <w:jc w:val="both"/>
        <w:rPr>
          <w:rFonts w:asciiTheme="minorHAnsi" w:hAnsiTheme="minorHAnsi" w:cstheme="minorHAnsi"/>
        </w:rPr>
      </w:pPr>
      <w:proofErr w:type="gramStart"/>
      <w:r>
        <w:rPr>
          <w:rFonts w:asciiTheme="minorHAnsi" w:hAnsiTheme="minorHAnsi" w:cstheme="minorHAnsi"/>
        </w:rPr>
        <w:t xml:space="preserve">В этом смысле плохая примета заключается в том, что подобный сценарий всё больше начинает походить на события годичной давности, когда единственный фондовый рынок, на котором ещё можно было «поудить рыбку в мутной воде», начиная с февраля и вплоть до «часа Х» в конце июля в преддверии понижения суверенного кредитного рейтинга Штатам со стороны агентства </w:t>
      </w:r>
      <w:r>
        <w:rPr>
          <w:rFonts w:asciiTheme="minorHAnsi" w:hAnsiTheme="minorHAnsi" w:cstheme="minorHAnsi"/>
          <w:lang w:val="en-US"/>
        </w:rPr>
        <w:t>Standard</w:t>
      </w:r>
      <w:r>
        <w:rPr>
          <w:rFonts w:asciiTheme="minorHAnsi" w:hAnsiTheme="minorHAnsi" w:cstheme="minorHAnsi"/>
        </w:rPr>
        <w:t>&amp;</w:t>
      </w:r>
      <w:r>
        <w:rPr>
          <w:rFonts w:asciiTheme="minorHAnsi" w:hAnsiTheme="minorHAnsi" w:cstheme="minorHAnsi"/>
          <w:lang w:val="en-US"/>
        </w:rPr>
        <w:t>Poor</w:t>
      </w:r>
      <w:r>
        <w:rPr>
          <w:rFonts w:asciiTheme="minorHAnsi" w:hAnsiTheme="minorHAnsi" w:cstheme="minorHAnsi"/>
        </w:rPr>
        <w:t>’</w:t>
      </w:r>
      <w:r>
        <w:rPr>
          <w:rFonts w:asciiTheme="minorHAnsi" w:hAnsiTheme="minorHAnsi" w:cstheme="minorHAnsi"/>
          <w:lang w:val="en-US"/>
        </w:rPr>
        <w:t>s</w:t>
      </w:r>
      <w:r>
        <w:rPr>
          <w:rFonts w:asciiTheme="minorHAnsi" w:hAnsiTheme="minorHAnsi" w:cstheme="minorHAnsi"/>
        </w:rPr>
        <w:t xml:space="preserve"> – это был американский</w:t>
      </w:r>
      <w:proofErr w:type="gramEnd"/>
      <w:r>
        <w:rPr>
          <w:rFonts w:asciiTheme="minorHAnsi" w:hAnsiTheme="minorHAnsi" w:cstheme="minorHAnsi"/>
        </w:rPr>
        <w:t xml:space="preserve"> рынок. </w:t>
      </w:r>
      <w:proofErr w:type="gramStart"/>
      <w:r>
        <w:rPr>
          <w:rFonts w:asciiTheme="minorHAnsi" w:hAnsiTheme="minorHAnsi" w:cstheme="minorHAnsi"/>
        </w:rPr>
        <w:t xml:space="preserve">Сейчас ещё рано говорить о «написанном под копирку» дальнейшем сценарии для фондовых рынков – с той лишь разницей, что в роли «злого гения» для лёгких на подъём американских индексов может выступить уже агентство </w:t>
      </w:r>
      <w:r>
        <w:rPr>
          <w:rFonts w:asciiTheme="minorHAnsi" w:hAnsiTheme="minorHAnsi" w:cstheme="minorHAnsi"/>
          <w:lang w:val="en-US"/>
        </w:rPr>
        <w:t>Moody</w:t>
      </w:r>
      <w:r>
        <w:rPr>
          <w:rFonts w:asciiTheme="minorHAnsi" w:hAnsiTheme="minorHAnsi" w:cstheme="minorHAnsi"/>
        </w:rPr>
        <w:t>’</w:t>
      </w:r>
      <w:r>
        <w:rPr>
          <w:rFonts w:asciiTheme="minorHAnsi" w:hAnsiTheme="minorHAnsi" w:cstheme="minorHAnsi"/>
          <w:lang w:val="en-US"/>
        </w:rPr>
        <w:t>s</w:t>
      </w:r>
      <w:r>
        <w:rPr>
          <w:rFonts w:asciiTheme="minorHAnsi" w:hAnsiTheme="minorHAnsi" w:cstheme="minorHAnsi"/>
        </w:rPr>
        <w:t>, но многие сходные черты становятся всё более отчётливыми, а это значит, что в ближайшее время самой подходящей тактикой будет «снятие сливок» с сезона квартальной корпоративной отчётности</w:t>
      </w:r>
      <w:proofErr w:type="gramEnd"/>
      <w:r>
        <w:rPr>
          <w:rFonts w:asciiTheme="minorHAnsi" w:hAnsiTheme="minorHAnsi" w:cstheme="minorHAnsi"/>
        </w:rPr>
        <w:t xml:space="preserve"> по принципу воробьиной стаи. Слишком долгие размышления и попытка отыскивания каких-то глубоко запрятанных </w:t>
      </w:r>
      <w:r w:rsidR="003916F4">
        <w:rPr>
          <w:rFonts w:asciiTheme="minorHAnsi" w:hAnsiTheme="minorHAnsi" w:cstheme="minorHAnsi"/>
        </w:rPr>
        <w:t>фундаментальных</w:t>
      </w:r>
      <w:r>
        <w:rPr>
          <w:rFonts w:asciiTheme="minorHAnsi" w:hAnsiTheme="minorHAnsi" w:cstheme="minorHAnsi"/>
        </w:rPr>
        <w:t xml:space="preserve"> факторов рынка может оказаться чреватой банальными потерями.</w:t>
      </w:r>
    </w:p>
    <w:p w:rsidR="006365C4" w:rsidRDefault="006365C4" w:rsidP="006365C4">
      <w:pPr>
        <w:jc w:val="both"/>
        <w:rPr>
          <w:rFonts w:asciiTheme="minorHAnsi" w:hAnsiTheme="minorHAnsi" w:cstheme="minorHAnsi"/>
        </w:rPr>
      </w:pPr>
      <w:r>
        <w:rPr>
          <w:rFonts w:asciiTheme="minorHAnsi" w:hAnsiTheme="minorHAnsi" w:cstheme="minorHAnsi"/>
        </w:rPr>
        <w:t xml:space="preserve">Что касается российских площадок, то «наше всё», нефть, в последние дни даёт мало поводов для оптимизма. </w:t>
      </w:r>
      <w:proofErr w:type="gramStart"/>
      <w:r>
        <w:rPr>
          <w:rFonts w:asciiTheme="minorHAnsi" w:hAnsiTheme="minorHAnsi" w:cstheme="minorHAnsi"/>
        </w:rPr>
        <w:t xml:space="preserve">Если европейский сорт </w:t>
      </w:r>
      <w:r>
        <w:rPr>
          <w:rFonts w:asciiTheme="minorHAnsi" w:hAnsiTheme="minorHAnsi" w:cstheme="minorHAnsi"/>
          <w:lang w:val="en-US"/>
        </w:rPr>
        <w:t>Brent</w:t>
      </w:r>
      <w:r>
        <w:rPr>
          <w:rFonts w:asciiTheme="minorHAnsi" w:hAnsiTheme="minorHAnsi" w:cstheme="minorHAnsi"/>
        </w:rPr>
        <w:t xml:space="preserve"> ещё худо-бедно держится на отметках выше $120 за баррель, то американская смесь </w:t>
      </w:r>
      <w:r>
        <w:rPr>
          <w:rFonts w:asciiTheme="minorHAnsi" w:hAnsiTheme="minorHAnsi" w:cstheme="minorHAnsi"/>
          <w:lang w:val="en-US"/>
        </w:rPr>
        <w:t>WTI</w:t>
      </w:r>
      <w:r>
        <w:rPr>
          <w:rFonts w:asciiTheme="minorHAnsi" w:hAnsiTheme="minorHAnsi" w:cstheme="minorHAnsi"/>
        </w:rPr>
        <w:t xml:space="preserve"> по итогам последнего отчёта </w:t>
      </w:r>
      <w:proofErr w:type="spellStart"/>
      <w:r>
        <w:rPr>
          <w:rFonts w:asciiTheme="minorHAnsi" w:hAnsiTheme="minorHAnsi" w:cstheme="minorHAnsi"/>
        </w:rPr>
        <w:t>МинЭнерго</w:t>
      </w:r>
      <w:proofErr w:type="spellEnd"/>
      <w:r>
        <w:rPr>
          <w:rFonts w:asciiTheme="minorHAnsi" w:hAnsiTheme="minorHAnsi" w:cstheme="minorHAnsi"/>
        </w:rPr>
        <w:t xml:space="preserve"> США и на слухах о возможной сырьевой интервенции со стороны МЭА (в вероятность которой, откровенно говоря, мы ни капли не верим) пробила свой уровень поддержки и начала стремительно приближаться к уровню $100 за баррель.</w:t>
      </w:r>
      <w:proofErr w:type="gramEnd"/>
      <w:r>
        <w:rPr>
          <w:rFonts w:asciiTheme="minorHAnsi" w:hAnsiTheme="minorHAnsi" w:cstheme="minorHAnsi"/>
        </w:rPr>
        <w:t xml:space="preserve"> Россия, как известно, торгует сортом </w:t>
      </w:r>
      <w:r>
        <w:rPr>
          <w:rFonts w:asciiTheme="minorHAnsi" w:hAnsiTheme="minorHAnsi" w:cstheme="minorHAnsi"/>
          <w:lang w:val="en-US"/>
        </w:rPr>
        <w:t>URALS</w:t>
      </w:r>
      <w:r>
        <w:rPr>
          <w:rFonts w:asciiTheme="minorHAnsi" w:hAnsiTheme="minorHAnsi" w:cstheme="minorHAnsi"/>
        </w:rPr>
        <w:t xml:space="preserve">, и поэтому динамика </w:t>
      </w:r>
      <w:r>
        <w:rPr>
          <w:rFonts w:asciiTheme="minorHAnsi" w:hAnsiTheme="minorHAnsi" w:cstheme="minorHAnsi"/>
          <w:lang w:val="en-US"/>
        </w:rPr>
        <w:t>WTI</w:t>
      </w:r>
      <w:r>
        <w:rPr>
          <w:rFonts w:asciiTheme="minorHAnsi" w:hAnsiTheme="minorHAnsi" w:cstheme="minorHAnsi"/>
        </w:rPr>
        <w:t xml:space="preserve"> и </w:t>
      </w:r>
      <w:r>
        <w:rPr>
          <w:rFonts w:asciiTheme="minorHAnsi" w:hAnsiTheme="minorHAnsi" w:cstheme="minorHAnsi"/>
          <w:lang w:val="en-US"/>
        </w:rPr>
        <w:t>Brent</w:t>
      </w:r>
      <w:r>
        <w:rPr>
          <w:rFonts w:asciiTheme="minorHAnsi" w:hAnsiTheme="minorHAnsi" w:cstheme="minorHAnsi"/>
        </w:rPr>
        <w:t xml:space="preserve">, строго говоря, не совпадает с изменениями нефтеэкспортных доходов, к которым столь чувствительны и котировки рубля, и российские фондовые индексы. Другое дело – окончание налогового периода, в связи с которым спрос на российскую валюту непременно снизится, а это, в свою очередь с высокой вероятностью предопределит начало фазы ослабления </w:t>
      </w:r>
      <w:proofErr w:type="gramStart"/>
      <w:r>
        <w:rPr>
          <w:rFonts w:asciiTheme="minorHAnsi" w:hAnsiTheme="minorHAnsi" w:cstheme="minorHAnsi"/>
        </w:rPr>
        <w:t>рубля</w:t>
      </w:r>
      <w:proofErr w:type="gramEnd"/>
      <w:r>
        <w:rPr>
          <w:rFonts w:asciiTheme="minorHAnsi" w:hAnsiTheme="minorHAnsi" w:cstheme="minorHAnsi"/>
        </w:rPr>
        <w:t xml:space="preserve"> как к доллару, так и к евро. Глубину его можно оценить, лишь зная с какой </w:t>
      </w:r>
      <w:proofErr w:type="gramStart"/>
      <w:r>
        <w:rPr>
          <w:rFonts w:asciiTheme="minorHAnsi" w:hAnsiTheme="minorHAnsi" w:cstheme="minorHAnsi"/>
        </w:rPr>
        <w:t>скоростью</w:t>
      </w:r>
      <w:proofErr w:type="gramEnd"/>
      <w:r>
        <w:rPr>
          <w:rFonts w:asciiTheme="minorHAnsi" w:hAnsiTheme="minorHAnsi" w:cstheme="minorHAnsi"/>
        </w:rPr>
        <w:t xml:space="preserve"> будет падать нефть. В данном случае, как всегда, многие эксперты скажут, что «тайна сия покрыта мраком», однако мы постараемся внести чуть больше ясности: причин для </w:t>
      </w:r>
      <w:r>
        <w:rPr>
          <w:rFonts w:asciiTheme="minorHAnsi" w:hAnsiTheme="minorHAnsi" w:cstheme="minorHAnsi"/>
        </w:rPr>
        <w:lastRenderedPageBreak/>
        <w:t>отвесного падения «чёрного золота» как таковых нет; более того, существуют неплохие предпосылки для отскока вверх, когда рынок узнает, что слухи о выплеске могущественных резервов МЭА не более чем скоординированная словесная интервенция западных СМИ (вспоминая 2011 год, можно предположить, что желающих «наступать на одни и те же грабли второй раз» в реальности не найдётся). Вероятнее всего, «нефтяное отрезвление» наступит где-то ближе к концу текущей недели, а до того времени, к сожалению, в отношении России число негативных факторов будет перевешивать количество позитивных, со всеми вытекающими из этого последствиями.</w:t>
      </w:r>
    </w:p>
    <w:p w:rsidR="006365C4" w:rsidRDefault="006365C4" w:rsidP="006365C4">
      <w:pPr>
        <w:spacing w:before="100" w:beforeAutospacing="1" w:after="240"/>
        <w:jc w:val="both"/>
        <w:rPr>
          <w:rFonts w:asciiTheme="minorHAnsi" w:hAnsiTheme="minorHAnsi" w:cstheme="minorHAnsi"/>
          <w:b/>
          <w:color w:val="548DD4" w:themeColor="text2" w:themeTint="99"/>
        </w:rPr>
      </w:pPr>
      <w:r>
        <w:rPr>
          <w:rFonts w:asciiTheme="minorHAnsi" w:hAnsiTheme="minorHAnsi" w:cstheme="minorHAnsi"/>
          <w:b/>
          <w:color w:val="548DD4" w:themeColor="text2" w:themeTint="99"/>
        </w:rPr>
        <w:t>Календарь событий</w:t>
      </w:r>
    </w:p>
    <w:p w:rsidR="006365C4" w:rsidRDefault="006365C4" w:rsidP="006365C4">
      <w:pPr>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Текущая неделя едва ли станет переломной для рыночных трендов.  Достигшие невиданных высот американские индексы на удивление сделали паузу и оценивают ближайшие окрестности: не слишком ли высоко они забрались и "хватит ли кислорода", чтобы продолжать восхождение. На этот вопрос сможет дать ответ надвигающаяся на нас очередная квартальная финансовая отчётность (первым по традиции свои результаты представит на суд публики американская ALCOA 10 апреля). А пока инвесторы будут "сверять свои часы" исключительно по данным </w:t>
      </w:r>
      <w:proofErr w:type="spellStart"/>
      <w:r>
        <w:rPr>
          <w:rFonts w:asciiTheme="minorHAnsi" w:eastAsia="Times New Roman" w:hAnsiTheme="minorHAnsi" w:cstheme="minorHAnsi"/>
          <w:color w:val="000000"/>
        </w:rPr>
        <w:t>макростатистики</w:t>
      </w:r>
      <w:proofErr w:type="spellEnd"/>
      <w:r>
        <w:rPr>
          <w:rFonts w:asciiTheme="minorHAnsi" w:eastAsia="Times New Roman" w:hAnsiTheme="minorHAnsi" w:cstheme="minorHAnsi"/>
          <w:color w:val="000000"/>
        </w:rPr>
        <w:t xml:space="preserve"> из Европы, США и Китая - причём, важность данных из всех трёх ключевых регионов мира в настоящее время является приблизительно одинаковой</w:t>
      </w:r>
    </w:p>
    <w:p w:rsidR="006365C4" w:rsidRDefault="006365C4" w:rsidP="006365C4">
      <w:pPr>
        <w:numPr>
          <w:ilvl w:val="0"/>
          <w:numId w:val="1"/>
        </w:numPr>
        <w:spacing w:before="100" w:beforeAutospacing="1" w:after="100" w:afterAutospacing="1"/>
        <w:jc w:val="both"/>
        <w:rPr>
          <w:rFonts w:asciiTheme="minorHAnsi" w:eastAsia="Times New Roman" w:hAnsiTheme="minorHAnsi" w:cstheme="minorHAnsi"/>
          <w:color w:val="000000"/>
        </w:rPr>
      </w:pPr>
      <w:r>
        <w:rPr>
          <w:rFonts w:asciiTheme="minorHAnsi" w:eastAsia="Times New Roman" w:hAnsiTheme="minorHAnsi" w:cstheme="minorHAnsi"/>
          <w:color w:val="000000"/>
        </w:rPr>
        <w:t>В понедельник будет опубликован индекс деловой активности PMI в Штатах от Института Менеджмента поставок (ISM), значение которого должно быть значительно выше цифры 50, чтобы рынок остался в хорошем расположении духа - особенно, после довольно противоречивых данных в пятницу.</w:t>
      </w:r>
    </w:p>
    <w:p w:rsidR="006365C4" w:rsidRDefault="006365C4" w:rsidP="006365C4">
      <w:pPr>
        <w:numPr>
          <w:ilvl w:val="0"/>
          <w:numId w:val="1"/>
        </w:numPr>
        <w:spacing w:before="100" w:beforeAutospacing="1" w:after="100" w:afterAutospacing="1"/>
        <w:jc w:val="both"/>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 xml:space="preserve">Что касается динамики фабричных заказов в США, то это тоже очень важный опережающий индикатор, но мы прогнозируем, что её рост окажется нулевым по итогам февраля: промышленники сейчас находятся в нерешительности из-за ухудшившейся </w:t>
      </w:r>
      <w:proofErr w:type="spellStart"/>
      <w:r>
        <w:rPr>
          <w:rFonts w:asciiTheme="minorHAnsi" w:eastAsia="Times New Roman" w:hAnsiTheme="minorHAnsi" w:cstheme="minorHAnsi"/>
          <w:color w:val="000000"/>
        </w:rPr>
        <w:t>макростатистики</w:t>
      </w:r>
      <w:proofErr w:type="spellEnd"/>
      <w:r>
        <w:rPr>
          <w:rFonts w:asciiTheme="minorHAnsi" w:eastAsia="Times New Roman" w:hAnsiTheme="minorHAnsi" w:cstheme="minorHAnsi"/>
          <w:color w:val="000000"/>
        </w:rPr>
        <w:t xml:space="preserve"> из Китая и, вероятней всего, могли предпочесть взять паузу, как говорится, "до выяснения обстоятельств".</w:t>
      </w:r>
      <w:proofErr w:type="gramEnd"/>
    </w:p>
    <w:p w:rsidR="006365C4" w:rsidRDefault="006365C4" w:rsidP="006365C4">
      <w:pPr>
        <w:numPr>
          <w:ilvl w:val="0"/>
          <w:numId w:val="1"/>
        </w:numPr>
        <w:spacing w:before="100" w:beforeAutospacing="1" w:after="100" w:afterAutospacing="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Что касается данных из Еврозоны, то после "неограниченных денежных интервенций" ЕЦБ инвесторов, конечно, как никогда ранее волнуют инфляционные ожидания в регионе. Пролить свет на этот вопрос помогут цифры индекса цен производителей, публикуемые во вторник, 3 апреля. Мы полагаем, что инфляционные процессы окажутся более заметными, чем надеется рынок исходя из </w:t>
      </w:r>
      <w:proofErr w:type="spellStart"/>
      <w:proofErr w:type="gramStart"/>
      <w:r>
        <w:rPr>
          <w:rFonts w:asciiTheme="minorHAnsi" w:eastAsia="Times New Roman" w:hAnsiTheme="minorHAnsi" w:cstheme="minorHAnsi"/>
          <w:color w:val="000000"/>
        </w:rPr>
        <w:t>консенсус-прогноза</w:t>
      </w:r>
      <w:proofErr w:type="spellEnd"/>
      <w:proofErr w:type="gramEnd"/>
      <w:r>
        <w:rPr>
          <w:rFonts w:asciiTheme="minorHAnsi" w:eastAsia="Times New Roman" w:hAnsiTheme="minorHAnsi" w:cstheme="minorHAnsi"/>
          <w:color w:val="000000"/>
        </w:rPr>
        <w:t>.</w:t>
      </w:r>
    </w:p>
    <w:p w:rsidR="006365C4" w:rsidRDefault="006365C4" w:rsidP="006365C4">
      <w:pPr>
        <w:numPr>
          <w:ilvl w:val="0"/>
          <w:numId w:val="1"/>
        </w:numPr>
        <w:spacing w:before="100" w:beforeAutospacing="1" w:after="100" w:afterAutospacing="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Наконец, символом текущей недели станет заседание ЕЦБ 4 апреля по определению дальнейшей монетарной политики и уровня учётной ставки. Хотя в последнем случае едва ли кто-то всерьёз ожидает каких-либо изменений, сопутствующие </w:t>
      </w:r>
      <w:proofErr w:type="gramStart"/>
      <w:r>
        <w:rPr>
          <w:rFonts w:asciiTheme="minorHAnsi" w:eastAsia="Times New Roman" w:hAnsiTheme="minorHAnsi" w:cstheme="minorHAnsi"/>
          <w:color w:val="000000"/>
        </w:rPr>
        <w:t>комментарии Марио Драги</w:t>
      </w:r>
      <w:proofErr w:type="gramEnd"/>
      <w:r>
        <w:rPr>
          <w:rFonts w:asciiTheme="minorHAnsi" w:eastAsia="Times New Roman" w:hAnsiTheme="minorHAnsi" w:cstheme="minorHAnsi"/>
          <w:color w:val="000000"/>
        </w:rPr>
        <w:t xml:space="preserve"> и, особенно, его видение ситуации в Еврозоне после пресловутой LTRO, наверняка не только станет поводом для ярких газетных заголовков и глубоких аналитических публикаций, но и сформирует новые настроения на глобальных рынках.</w:t>
      </w:r>
    </w:p>
    <w:p w:rsidR="006365C4" w:rsidRDefault="006365C4" w:rsidP="006365C4">
      <w:pPr>
        <w:numPr>
          <w:ilvl w:val="0"/>
          <w:numId w:val="1"/>
        </w:numPr>
        <w:spacing w:before="100" w:beforeAutospacing="1" w:after="100" w:afterAutospacing="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Весьма важная публикация из Китая - индекс производственной активности PMI от банка HSBC - также претендует на роль главного события недели и увидит свет 1 апреля. Предварительные данные указали на вероятный отскок вверх после провальных данных за предыдущий месяц. Рынок находится в "приятном замешательстве", осознав, наконец, что экономика Поднебесной многомерна по своей природе, и свести её процессы </w:t>
      </w:r>
      <w:proofErr w:type="gramStart"/>
      <w:r>
        <w:rPr>
          <w:rFonts w:asciiTheme="minorHAnsi" w:eastAsia="Times New Roman" w:hAnsiTheme="minorHAnsi" w:cstheme="minorHAnsi"/>
          <w:color w:val="000000"/>
        </w:rPr>
        <w:t>к</w:t>
      </w:r>
      <w:proofErr w:type="gramEnd"/>
      <w:r>
        <w:rPr>
          <w:rFonts w:asciiTheme="minorHAnsi" w:eastAsia="Times New Roman" w:hAnsiTheme="minorHAnsi" w:cstheme="minorHAnsi"/>
          <w:color w:val="000000"/>
        </w:rPr>
        <w:t xml:space="preserve"> </w:t>
      </w:r>
      <w:proofErr w:type="gramStart"/>
      <w:r>
        <w:rPr>
          <w:rFonts w:asciiTheme="minorHAnsi" w:eastAsia="Times New Roman" w:hAnsiTheme="minorHAnsi" w:cstheme="minorHAnsi"/>
          <w:color w:val="000000"/>
        </w:rPr>
        <w:t>простой</w:t>
      </w:r>
      <w:proofErr w:type="gramEnd"/>
      <w:r>
        <w:rPr>
          <w:rFonts w:asciiTheme="minorHAnsi" w:eastAsia="Times New Roman" w:hAnsiTheme="minorHAnsi" w:cstheme="minorHAnsi"/>
          <w:color w:val="000000"/>
        </w:rPr>
        <w:t xml:space="preserve"> логической цепочке, как бы того хотелось иным западным экспертам-экономистам, невозможно по определению.</w:t>
      </w:r>
    </w:p>
    <w:p w:rsidR="006365C4" w:rsidRDefault="006365C4" w:rsidP="006365C4">
      <w:pPr>
        <w:spacing w:before="100" w:beforeAutospacing="1" w:after="240"/>
        <w:jc w:val="both"/>
        <w:rPr>
          <w:rFonts w:asciiTheme="minorHAnsi" w:hAnsiTheme="minorHAnsi" w:cstheme="minorHAnsi"/>
        </w:rPr>
      </w:pPr>
      <w:r>
        <w:rPr>
          <w:rFonts w:asciiTheme="minorHAnsi" w:hAnsiTheme="minorHAnsi" w:cstheme="minorHAnsi"/>
        </w:rPr>
        <w:lastRenderedPageBreak/>
        <w:t xml:space="preserve">Если у вас возникли вопросы, просим обращаться к Владимиру </w:t>
      </w:r>
      <w:proofErr w:type="spellStart"/>
      <w:r>
        <w:rPr>
          <w:rFonts w:asciiTheme="minorHAnsi" w:hAnsiTheme="minorHAnsi" w:cstheme="minorHAnsi"/>
        </w:rPr>
        <w:t>Рожанковскому</w:t>
      </w:r>
      <w:proofErr w:type="spellEnd"/>
      <w:r>
        <w:rPr>
          <w:rFonts w:asciiTheme="minorHAnsi" w:hAnsiTheme="minorHAnsi" w:cstheme="minorHAnsi"/>
        </w:rPr>
        <w:t>, директору аналитического департамента ИГ «Норд-Капитал»:</w:t>
      </w:r>
    </w:p>
    <w:p w:rsidR="006365C4" w:rsidRDefault="006365C4" w:rsidP="006365C4">
      <w:pPr>
        <w:spacing w:before="100" w:beforeAutospacing="1" w:after="240"/>
        <w:jc w:val="both"/>
        <w:rPr>
          <w:rFonts w:asciiTheme="minorHAnsi" w:hAnsiTheme="minorHAnsi" w:cstheme="minorHAnsi"/>
        </w:rPr>
      </w:pPr>
      <w:r>
        <w:rPr>
          <w:rFonts w:asciiTheme="minorHAnsi" w:hAnsiTheme="minorHAnsi" w:cstheme="minorHAnsi"/>
        </w:rPr>
        <w:t>тел.  +7 (495) 544 41 87</w:t>
      </w:r>
    </w:p>
    <w:p w:rsidR="006365C4" w:rsidRDefault="006365C4" w:rsidP="006365C4">
      <w:pPr>
        <w:spacing w:before="100" w:beforeAutospacing="1" w:after="240"/>
        <w:jc w:val="both"/>
        <w:rPr>
          <w:rFonts w:asciiTheme="minorHAnsi" w:hAnsiTheme="minorHAnsi" w:cstheme="minorHAnsi"/>
          <w:sz w:val="22"/>
          <w:szCs w:val="22"/>
        </w:rPr>
      </w:pPr>
      <w:hyperlink r:id="rId5" w:history="1">
        <w:r>
          <w:rPr>
            <w:rStyle w:val="a3"/>
            <w:rFonts w:asciiTheme="minorHAnsi" w:hAnsiTheme="minorHAnsi" w:cstheme="minorHAnsi"/>
            <w:sz w:val="22"/>
            <w:szCs w:val="22"/>
          </w:rPr>
          <w:t>rojankovski@ncapital.ru</w:t>
        </w:r>
      </w:hyperlink>
    </w:p>
    <w:p w:rsidR="006365C4" w:rsidRDefault="006365C4" w:rsidP="006365C4">
      <w:r>
        <w:rPr>
          <w:rFonts w:asciiTheme="minorHAnsi" w:hAnsiTheme="minorHAnsi" w:cstheme="minorHAnsi"/>
          <w:sz w:val="22"/>
          <w:szCs w:val="22"/>
        </w:rPr>
        <w:t>Пожалуйста, если вы не используете подобные аналитические продукты в своей работе, сообщите об этом нам: мы ни в коей мере не хотим доставлять вам неудобства своей рассылкой!</w:t>
      </w:r>
    </w:p>
    <w:p w:rsidR="00655128" w:rsidRDefault="003916F4"/>
    <w:sectPr w:rsidR="00655128" w:rsidSect="005C7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30ACE"/>
    <w:multiLevelType w:val="multilevel"/>
    <w:tmpl w:val="84BCC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5C4"/>
    <w:rsid w:val="00223C4D"/>
    <w:rsid w:val="003916F4"/>
    <w:rsid w:val="00412938"/>
    <w:rsid w:val="004F30CF"/>
    <w:rsid w:val="005C7FB8"/>
    <w:rsid w:val="006365C4"/>
    <w:rsid w:val="00911122"/>
    <w:rsid w:val="00B23757"/>
    <w:rsid w:val="00CA3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5C4"/>
    <w:pPr>
      <w:spacing w:after="0" w:line="240" w:lineRule="auto"/>
    </w:pPr>
    <w:rPr>
      <w:rFonts w:ascii="Times New Roman" w:hAnsi="Times New Roman" w:cs="Times New Roman"/>
      <w:sz w:val="24"/>
      <w:szCs w:val="24"/>
      <w:lang w:eastAsia="ru-RU"/>
    </w:rPr>
  </w:style>
  <w:style w:type="paragraph" w:styleId="1">
    <w:name w:val="heading 1"/>
    <w:basedOn w:val="a"/>
    <w:link w:val="10"/>
    <w:uiPriority w:val="9"/>
    <w:qFormat/>
    <w:rsid w:val="006365C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5C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365C4"/>
    <w:rPr>
      <w:color w:val="0000FF"/>
      <w:u w:val="single"/>
    </w:rPr>
  </w:style>
</w:styles>
</file>

<file path=word/webSettings.xml><?xml version="1.0" encoding="utf-8"?>
<w:webSettings xmlns:r="http://schemas.openxmlformats.org/officeDocument/2006/relationships" xmlns:w="http://schemas.openxmlformats.org/wordprocessingml/2006/main">
  <w:divs>
    <w:div w:id="8329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jankovski@ncapit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ebarkova</dc:creator>
  <cp:keywords/>
  <dc:description/>
  <cp:lastModifiedBy>ebarkova</cp:lastModifiedBy>
  <cp:revision>2</cp:revision>
  <dcterms:created xsi:type="dcterms:W3CDTF">2012-04-02T09:07:00Z</dcterms:created>
  <dcterms:modified xsi:type="dcterms:W3CDTF">2012-04-02T09:51:00Z</dcterms:modified>
</cp:coreProperties>
</file>