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1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10560"/>
        <w:gridCol w:w="6"/>
      </w:tblGrid>
      <w:tr w:rsidR="00C0673E" w:rsidTr="00C0673E">
        <w:trPr>
          <w:tblCellSpacing w:w="0" w:type="dxa"/>
        </w:trPr>
        <w:tc>
          <w:tcPr>
            <w:tcW w:w="0" w:type="auto"/>
            <w:vAlign w:val="center"/>
            <w:hideMark/>
          </w:tcPr>
          <w:p w:rsidR="00C0673E" w:rsidRDefault="00C0673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10500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560"/>
            </w:tblGrid>
            <w:tr w:rsidR="00C067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673E" w:rsidRDefault="00C0673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color w:val="1F497D"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6677025" cy="2449830"/>
                        <wp:effectExtent l="19050" t="0" r="9525" b="0"/>
                        <wp:docPr id="1" name="Рисунок 1" descr="cid:image001.jpg@01CE7F0D.5D5225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id:image001.jpg@01CE7F0D.5D5225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r:link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77025" cy="24498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673E">
              <w:trPr>
                <w:tblCellSpacing w:w="0" w:type="dxa"/>
              </w:trPr>
              <w:tc>
                <w:tcPr>
                  <w:tcW w:w="0" w:type="auto"/>
                  <w:shd w:val="clear" w:color="auto" w:fill="F5F5F5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10"/>
                    <w:gridCol w:w="10144"/>
                    <w:gridCol w:w="6"/>
                  </w:tblGrid>
                  <w:tr w:rsidR="00C0673E">
                    <w:trPr>
                      <w:trHeight w:val="150"/>
                      <w:tblCellSpacing w:w="0" w:type="dxa"/>
                    </w:trPr>
                    <w:tc>
                      <w:tcPr>
                        <w:tcW w:w="408" w:type="dxa"/>
                        <w:shd w:val="clear" w:color="auto" w:fill="FFFFFF"/>
                        <w:vAlign w:val="center"/>
                        <w:hideMark/>
                      </w:tcPr>
                      <w:p w:rsidR="00C0673E" w:rsidRDefault="00C0673E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0101" w:type="dxa"/>
                        <w:shd w:val="clear" w:color="auto" w:fill="FFFFFF"/>
                        <w:vAlign w:val="center"/>
                        <w:hideMark/>
                      </w:tcPr>
                      <w:p w:rsidR="00C0673E" w:rsidRDefault="00C0673E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shd w:val="clear" w:color="auto" w:fill="FFFFFF"/>
                        <w:vAlign w:val="center"/>
                        <w:hideMark/>
                      </w:tcPr>
                      <w:p w:rsidR="00C0673E" w:rsidRDefault="00C0673E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C0673E">
                    <w:trPr>
                      <w:trHeight w:val="420"/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C0673E" w:rsidRDefault="00C0673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6"/>
                            <w:szCs w:val="26"/>
                          </w:rPr>
                          <w:t> </w:t>
                        </w: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p w:rsidR="00C0673E" w:rsidRDefault="00C0673E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C0673E" w:rsidRDefault="00C0673E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  <w:tr w:rsidR="00C0673E">
                    <w:trPr>
                      <w:tblCellSpacing w:w="0" w:type="dxa"/>
                    </w:trPr>
                    <w:tc>
                      <w:tcPr>
                        <w:tcW w:w="408" w:type="dxa"/>
                        <w:vAlign w:val="center"/>
                        <w:hideMark/>
                      </w:tcPr>
                      <w:p w:rsidR="00C0673E" w:rsidRDefault="00C0673E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10101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544"/>
                          <w:gridCol w:w="600"/>
                        </w:tblGrid>
                        <w:tr w:rsidR="00C0673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0673E" w:rsidRDefault="00C0673E">
                              <w:pPr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акций</w:t>
                              </w:r>
                            </w:p>
                            <w:p w:rsidR="00C0673E" w:rsidRDefault="00C0673E"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C0673E" w:rsidRDefault="00C0673E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2" name="Рисунок 6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6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r:link="rId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0673E" w:rsidRDefault="00C067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C0673E" w:rsidRDefault="00C0673E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color w:val="1F497D"/>
                                </w:rPr>
                                <w:t> </w:t>
                              </w:r>
                            </w:p>
                            <w:p w:rsidR="00C0673E" w:rsidRDefault="00C0673E">
                              <w:pPr>
                                <w:jc w:val="both"/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>Аппетиты к риску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у инвесторов остаются невысокими, в результате чего продолжает расти спрос на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безрисковые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активы – доходность по 10-летним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UST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на минимальных с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III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квартала 2012 года уровнях, а на рынках акций правят бал «медведи»: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&amp;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P</w:t>
                              </w:r>
                              <w:r w:rsidRPr="00C0673E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500 и высокотехнологичный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NASDAQ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снизились на 3%, европейский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EURO</w:t>
                              </w:r>
                              <w:r w:rsidRPr="00C0673E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STOXX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опустился на 2,79%, индекс развивающихся рынков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MSCI</w:t>
                              </w:r>
                              <w:r w:rsidRPr="00C0673E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EM</w:t>
                              </w:r>
                              <w:r w:rsidRPr="00C0673E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за неделю потерял 2,79%. Глобальная коррекция не обошла стороной и российский рынок: рублевый ММВБ упал на 0,6%, долларовый РТС опустился более чем на 6%. </w:t>
                              </w:r>
                            </w:p>
                            <w:p w:rsidR="00C0673E" w:rsidRDefault="00C0673E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 </w:t>
                              </w:r>
                            </w:p>
                            <w:p w:rsidR="00C0673E" w:rsidRDefault="00C0673E">
                              <w:pPr>
                                <w:jc w:val="both"/>
                              </w:pPr>
                              <w:proofErr w:type="gramStart"/>
                              <w:r>
                                <w:rPr>
                                  <w:rFonts w:ascii="Arial" w:hAnsi="Arial" w:cs="Arial"/>
                                </w:rPr>
                                <w:t xml:space="preserve">В краткосрочной перспективе повышенного интереса к риску у инвесторов не появится –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br/>
                                <w:t xml:space="preserve">к высокой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волатильности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 на сырьевых рынках и геополитической напряженности добавилась слабая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</w:rPr>
                                <w:t>макростатистика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</w:rPr>
                                <w:t xml:space="preserve">: темпы роста ВВП США в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квартале не дотянули до консенсуса 0,4 п.п. (+2,6% г/г), в еврозоне в январе зафиксирована дефляция на уровне 0,6%, а в Китае уже второй месяц подряд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HSBC</w:t>
                              </w:r>
                              <w:r w:rsidRPr="00C0673E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PMI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находится ниже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</w:rPr>
                                <w:t xml:space="preserve"> уровня в 50 п.п. что фактически говорит о спаде производства. Следовательно, можно ожидать снижения цен на промышленные товары, в частности уголь, железную руду, сталь и другие металлы, в краткосрочной перспективе. </w:t>
                              </w:r>
                            </w:p>
                            <w:p w:rsidR="00C0673E" w:rsidRDefault="00C0673E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 </w:t>
                              </w:r>
                            </w:p>
                            <w:p w:rsidR="00C0673E" w:rsidRDefault="00C0673E">
                              <w:pPr>
                                <w:jc w:val="both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В условиях глобального снижения притоков сре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дств в р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исковые активы главной целью является минимизация риска портфеля при сохранении ожидаемой доходности. В наших фондах эта задача решается с помощью высокого уровня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диверсификации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 как по регионам инвестирования, так и по секторам. Пока наши основные ставки остаются прежними: российские компании-экспортеры и крупные компании с развитых рынков. </w:t>
                              </w:r>
                            </w:p>
                            <w:p w:rsidR="00C0673E" w:rsidRDefault="00C0673E">
                              <w:pPr>
                                <w:pStyle w:val="a50"/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 </w:t>
                              </w:r>
                            </w:p>
                            <w:p w:rsidR="00C0673E" w:rsidRDefault="00C0673E">
                              <w:r>
                                <w:rPr>
                                  <w:color w:val="1F497D"/>
                                </w:rPr>
                                <w:t> </w:t>
                              </w:r>
                            </w:p>
                            <w:p w:rsidR="00C0673E" w:rsidRDefault="00C067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облигаций</w:t>
                              </w:r>
                            </w:p>
                            <w:p w:rsidR="00C0673E" w:rsidRDefault="00C0673E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190625" cy="1190625"/>
                                    <wp:effectExtent l="19050" t="0" r="9525" b="0"/>
                                    <wp:docPr id="3" name="Рисунок 3" descr="cid:image004.jpg@01CE7BFE.B94C54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3" descr="cid:image004.jpg@01CE7BFE.B94C54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r:link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90625" cy="1190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0673E" w:rsidRDefault="00C067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 xml:space="preserve">Алексей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Губин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, 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аналитик УК «Альфа-Капитал»</w:t>
                              </w:r>
                            </w:p>
                            <w:p w:rsidR="00C0673E" w:rsidRDefault="00C0673E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Основным событием прошлой недели стало неожиданное снижение ключевой ставки ЦБ РФ с 17 до 15% годовых, получившее неоднозначную трактовку участниками рынка. В упрек ЦБ ставится несвоевременность снижения ставки, ведь инфляция все еще не достигла своего локального максимума, а рубль продолжает оставаться достаточно слабым в силу внешних факторов – из-за низкой цены на нефть и пика платежей по внешнему долгу в феврале и марте. </w:t>
                              </w:r>
                            </w:p>
                            <w:p w:rsidR="00C0673E" w:rsidRDefault="00C0673E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Так или иначе, снижение ключевой ставки вызвало краткосрочный всплеск интереса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br/>
                                <w:t xml:space="preserve">к рублевым бондам, прежде всего ОФЗ, однако данный интерес вряд ли приведет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br/>
                                <w:t xml:space="preserve">к массированному росту цен в краткосрочной перспективе, учитывая, что ни внешний, ни внутренний негатив никуда не уходят. Санкции остаются в силе, экономика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стагнирует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, а цены на нефть низкие. Отметим, что пятничный рост цен на нефть вселяет надежду на то, что мы увидели пусть локальное, но все-таки дно.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 Впрочем, если цены на сырье на неделе вырастут и поддержат облигации, то этим ростом участники рынка, скорее всего, воспользуются, чтобы сократить часть позиций.</w:t>
                              </w:r>
                            </w:p>
                            <w:p w:rsidR="00C0673E" w:rsidRDefault="00C0673E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Решение ФРС оставить ставку без изменений также может стать подспорьем для рынка, но в российском сегменте долговых бумаг политика ФРС в последнее время играет все меньшую роль. Скорее рынок обращает внимание на неудачные попытки по урегулированию украинского кризиса. Так, комментарии ФРС относительно готовности быть терпеливыми в плане повышения базовой ставки привели к росту цен казначейских облигаций США, но при этом российский долг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реагировал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прежде всего на неспокойную ситуацию вокруг Мариуполя и неудавшиеся минские переговоры.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Мы ждем умеренно-позитивного начала недели благодаря скачку цен на нефть, однако затем рынок будет торговаться «по заголовкам». Наиболее интересные сегменты долларового рынка – это 1–3-летние качественные корпоративные выпуски. В сегменте рублевых облигаций есть смысл обратить внимание на среднесрочные ОФЗ, а также короткие ликвидные корпоративные выпуски.</w:t>
                              </w:r>
                            </w:p>
                            <w:p w:rsidR="00C0673E" w:rsidRDefault="00C0673E">
                              <w:pPr>
                                <w:pStyle w:val="a30"/>
                              </w:pPr>
                              <w: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C0673E" w:rsidRDefault="00C0673E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  <w:p w:rsidR="00C0673E" w:rsidRDefault="00C067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Рынок сырьевых товаров</w:t>
                              </w:r>
                            </w:p>
                            <w:p w:rsidR="00C0673E" w:rsidRDefault="00C0673E">
                              <w:pPr>
                                <w:spacing w:after="240"/>
                              </w:pPr>
                              <w:r>
                                <w:rPr>
                                  <w:rFonts w:ascii="Arial" w:hAnsi="Arial" w:cs="Arial"/>
                                  <w:noProof/>
                                  <w:sz w:val="26"/>
                                  <w:szCs w:val="26"/>
                                  <w:lang w:eastAsia="ru-RU"/>
                                </w:rPr>
                                <w:drawing>
                                  <wp:inline distT="0" distB="0" distL="0" distR="0">
                                    <wp:extent cx="1121410" cy="1121410"/>
                                    <wp:effectExtent l="19050" t="0" r="2540" b="0"/>
                                    <wp:docPr id="4" name="Рисунок 4" descr="cid:image002.jpg@01CE7D8D.1A6B3F6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Рисунок 4" descr="cid:image002.jpg@01CE7D8D.1A6B3F6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21410" cy="112141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C0673E" w:rsidRDefault="00C067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26"/>
                                  <w:szCs w:val="26"/>
                                </w:rPr>
                                <w:t> </w:t>
                              </w:r>
                            </w:p>
                            <w:p w:rsidR="00C0673E" w:rsidRDefault="00C0673E">
                              <w:r>
                                <w:rPr>
                                  <w:b/>
                                  <w:bCs/>
                                  <w:color w:val="1F497D"/>
                                </w:rPr>
                                <w:t> </w:t>
                              </w:r>
                            </w:p>
                            <w:p w:rsidR="00C0673E" w:rsidRDefault="00C0673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t>Владимир Брагин,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6"/>
                                  <w:szCs w:val="26"/>
                                </w:rPr>
                                <w:br/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t>директор по анализу финансовых рынков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FF0000"/>
                                  <w:sz w:val="26"/>
                                  <w:szCs w:val="26"/>
                                </w:rPr>
                                <w:br/>
                                <w:t>и макроэкономики УК «Альфа-Капитал»</w:t>
                              </w:r>
                            </w:p>
                            <w:p w:rsidR="00C0673E" w:rsidRDefault="00C0673E">
                              <w:pPr>
                                <w:pStyle w:val="a7"/>
                                <w:ind w:left="-76" w:firstLine="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Слабый рубль останется основным фактором роста котировок акций металлургов до конца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en-US"/>
                                </w:rPr>
                                <w:t>I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 квартала 2015 года. Как правило, рынок недооценивает эффект от девальвации рубля на экономику компаний,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br/>
                                <w:t xml:space="preserve">в результате чего основной эффект на котировки от девальвации возникает с лагом в 1‒2 квартала. На ближайшей неделе ряд крупных компаний сектора опубликуют свои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lastRenderedPageBreak/>
                                <w:t>операционные результаты, что локально поддержит спрос акции на металлургов. С начала года индекс ММВБ Металлургии вырос примерно на 30% при росте широкого рынка на 16,8% по индексу ММВБ.</w:t>
                              </w:r>
                            </w:p>
                            <w:p w:rsidR="00C0673E" w:rsidRDefault="00C0673E">
                              <w:pPr>
                                <w:pStyle w:val="a7"/>
                                <w:ind w:left="-76" w:firstLine="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В конце прошлой недели появилось сообщение о том, что ФАС будет рекомендовать правительству ввести экспортные пошлины для металлургов и производителей удобрений с целью сдержать рост цен на внутреннем рынке и, соответственно, замедлить инфляцию. Теоретически это может существенно ухудшить экономику экспортеров, но на практике ввод таких пошлин весьма проблематичен из-за широкой диверсификации по типам продукции и высокой мобильности производителей (металлурги могут быстро менять номенклатуру конечной продукции), а также это может ударить по инвестициям в новые мощности в секторе, что косвенно негативно для всей экономики. </w:t>
                              </w:r>
                            </w:p>
                            <w:p w:rsidR="00C0673E" w:rsidRDefault="00C0673E">
                              <w:pPr>
                                <w:pStyle w:val="a7"/>
                                <w:ind w:left="-76" w:firstLine="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 xml:space="preserve">Российские компании, ориентированные на внутренний спрос, сейчас являются плохой идеей, так как при неизбежном падении потребительского спроса из-за снижения реального ВВП, заработных плат и роста безработицы компании столкнутся со снижением выручки,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br/>
                                <w:t>а банки в дополнение к этому – с ухудшением качества активов. В этих отраслях лучше оставаться в иностранных ценных бумагах.</w:t>
                              </w:r>
                            </w:p>
                            <w:p w:rsidR="00C0673E" w:rsidRDefault="00C0673E">
                              <w:pPr>
                                <w:pStyle w:val="a30"/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C0673E" w:rsidRDefault="00C0673E">
                              <w:pPr>
                                <w:pStyle w:val="a50"/>
                                <w:spacing w:after="120"/>
                                <w:jc w:val="both"/>
                              </w:pPr>
                              <w:r>
                                <w:rPr>
                                  <w:rFonts w:ascii="Calibri" w:hAnsi="Calibri"/>
                                  <w:color w:val="1F497D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  <w:p w:rsidR="00C0673E" w:rsidRDefault="00C0673E">
                              <w:r>
                                <w:rPr>
                                  <w:rFonts w:ascii="Arial" w:hAnsi="Arial" w:cs="Arial"/>
                                </w:rPr>
                                <w:t>*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Если по какой-то причине Вам не интересна рассылка, есть пожелания по ее содержанию или Вы знаете тех, кому она могла бы также быть полезной, пожалуйста, сообщите Ирине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Балалуевой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 на </w:t>
                              </w:r>
                              <w:hyperlink r:id="rId12" w:history="1"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</w:rPr>
                                  <w:t>.</w:t>
                                </w:r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  <w:lang w:val="en-US"/>
                                  </w:rPr>
                                  <w:t>balalueva</w:t>
                                </w:r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</w:rPr>
                                  <w:t>@</w:t>
                                </w:r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  <w:lang w:val="en-US"/>
                                  </w:rPr>
                                  <w:t>alfacapital</w:t>
                                </w:r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</w:rPr>
                                  <w:t>.</w:t>
                                </w:r>
                                <w:r>
                                  <w:rPr>
                                    <w:rStyle w:val="a3"/>
                                    <w:rFonts w:ascii="Arial" w:hAnsi="Arial" w:cs="Arial"/>
                                    <w:i/>
                                    <w:iCs/>
                                    <w:lang w:val="en-US"/>
                                  </w:rPr>
                                  <w:t>ru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 xml:space="preserve">. </w:t>
                              </w:r>
                            </w:p>
                            <w:p w:rsidR="00C0673E" w:rsidRDefault="00C0673E"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Остаемся на связи!</w:t>
                              </w:r>
                            </w:p>
                            <w:p w:rsidR="00C0673E" w:rsidRDefault="00C0673E">
                              <w:pPr>
                                <w:jc w:val="right"/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С уважением,</w:t>
                              </w:r>
                            </w:p>
                            <w:p w:rsidR="00C0673E" w:rsidRDefault="00C0673E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i/>
                                  <w:iCs/>
                                </w:rPr>
                                <w:t>пресс-служба УК «Альфа-Капитал».</w:t>
                              </w:r>
                            </w:p>
                          </w:tc>
                          <w:tc>
                            <w:tcPr>
                              <w:tcW w:w="600" w:type="dxa"/>
                              <w:vAlign w:val="center"/>
                              <w:hideMark/>
                            </w:tcPr>
                            <w:p w:rsidR="00C0673E" w:rsidRDefault="00C0673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6"/>
                                  <w:szCs w:val="26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</w:tbl>
                      <w:p w:rsidR="00C0673E" w:rsidRDefault="00C0673E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  <w:tc>
                      <w:tcPr>
                        <w:tcW w:w="6" w:type="dxa"/>
                        <w:vAlign w:val="center"/>
                        <w:hideMark/>
                      </w:tcPr>
                      <w:p w:rsidR="00C0673E" w:rsidRDefault="00C0673E">
                        <w:pPr>
                          <w:rPr>
                            <w:rFonts w:asciiTheme="minorHAnsi" w:eastAsiaTheme="minorEastAsia" w:hAnsiTheme="minorHAnsi" w:cstheme="minorBidi"/>
                          </w:rPr>
                        </w:pPr>
                      </w:p>
                    </w:tc>
                  </w:tr>
                </w:tbl>
                <w:p w:rsidR="00C0673E" w:rsidRDefault="00C0673E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  <w:lang w:eastAsia="ru-RU"/>
                    </w:rPr>
                    <w:lastRenderedPageBreak/>
                    <w:drawing>
                      <wp:inline distT="0" distB="0" distL="0" distR="0">
                        <wp:extent cx="6668135" cy="758825"/>
                        <wp:effectExtent l="19050" t="0" r="0" b="0"/>
                        <wp:docPr id="5" name="Рисунок 5" descr="cid:image004.gif@01CF1B7C.B25E1A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 descr="cid:image004.gif@01CF1B7C.B25E1A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r:link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8135" cy="758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0673E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673E" w:rsidRDefault="00C0673E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C0673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673E" w:rsidRDefault="00C0673E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  <w:tr w:rsidR="00C0673E">
              <w:trPr>
                <w:trHeight w:val="1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673E" w:rsidRDefault="00C0673E">
                  <w:pPr>
                    <w:rPr>
                      <w:rFonts w:asciiTheme="minorHAnsi" w:eastAsiaTheme="minorEastAsia" w:hAnsiTheme="minorHAnsi" w:cstheme="minorBidi"/>
                    </w:rPr>
                  </w:pPr>
                </w:p>
              </w:tc>
            </w:tr>
          </w:tbl>
          <w:p w:rsidR="00C0673E" w:rsidRDefault="00C0673E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0" w:type="auto"/>
            <w:vAlign w:val="center"/>
            <w:hideMark/>
          </w:tcPr>
          <w:p w:rsidR="00C0673E" w:rsidRDefault="00C0673E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424F7D" w:rsidRPr="00424F7D" w:rsidRDefault="00424F7D" w:rsidP="00C0673E"/>
    <w:sectPr w:rsidR="00424F7D" w:rsidRPr="00424F7D" w:rsidSect="002A4E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83E7D"/>
    <w:rsid w:val="001151E3"/>
    <w:rsid w:val="002A4E67"/>
    <w:rsid w:val="002F3E90"/>
    <w:rsid w:val="003071DD"/>
    <w:rsid w:val="00424F7D"/>
    <w:rsid w:val="00531755"/>
    <w:rsid w:val="0054023F"/>
    <w:rsid w:val="006342A9"/>
    <w:rsid w:val="00683E7D"/>
    <w:rsid w:val="0071666C"/>
    <w:rsid w:val="00721A85"/>
    <w:rsid w:val="007A1D02"/>
    <w:rsid w:val="008F46C5"/>
    <w:rsid w:val="00A60490"/>
    <w:rsid w:val="00BC143A"/>
    <w:rsid w:val="00C0673E"/>
    <w:rsid w:val="00D22755"/>
    <w:rsid w:val="00EB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7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7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071DD"/>
    <w:rPr>
      <w:color w:val="0000FF" w:themeColor="hyperlink"/>
      <w:u w:val="single"/>
    </w:rPr>
  </w:style>
  <w:style w:type="character" w:styleId="a4">
    <w:name w:val="Strong"/>
    <w:qFormat/>
    <w:rsid w:val="00721A85"/>
    <w:rPr>
      <w:b/>
      <w:bCs/>
    </w:rPr>
  </w:style>
  <w:style w:type="paragraph" w:styleId="a5">
    <w:name w:val="Normal (Web)"/>
    <w:basedOn w:val="a"/>
    <w:uiPriority w:val="99"/>
    <w:unhideWhenUsed/>
    <w:rsid w:val="00EB3CAA"/>
    <w:rPr>
      <w:rFonts w:ascii="Times New Roman" w:hAnsi="Times New Roman"/>
      <w:sz w:val="24"/>
      <w:szCs w:val="24"/>
      <w:lang w:eastAsia="ru-RU"/>
    </w:rPr>
  </w:style>
  <w:style w:type="paragraph" w:customStyle="1" w:styleId="Pa3">
    <w:name w:val="Pa3"/>
    <w:basedOn w:val="Default"/>
    <w:next w:val="Default"/>
    <w:uiPriority w:val="99"/>
    <w:rsid w:val="00424F7D"/>
    <w:pPr>
      <w:spacing w:line="181" w:lineRule="atLeast"/>
    </w:pPr>
    <w:rPr>
      <w:rFonts w:ascii="Verdana" w:hAnsi="Verdana" w:cstheme="minorBidi"/>
      <w:color w:val="auto"/>
    </w:rPr>
  </w:style>
  <w:style w:type="character" w:customStyle="1" w:styleId="A6">
    <w:name w:val="A6"/>
    <w:uiPriority w:val="99"/>
    <w:rsid w:val="00424F7D"/>
    <w:rPr>
      <w:rFonts w:cs="Verdana"/>
      <w:color w:val="000000"/>
      <w:sz w:val="16"/>
      <w:szCs w:val="16"/>
    </w:rPr>
  </w:style>
  <w:style w:type="paragraph" w:customStyle="1" w:styleId="a30">
    <w:name w:val="a3"/>
    <w:basedOn w:val="a"/>
    <w:rsid w:val="00C0673E"/>
    <w:pPr>
      <w:spacing w:before="80"/>
      <w:jc w:val="both"/>
    </w:pPr>
    <w:rPr>
      <w:rFonts w:ascii="Arial Narrow" w:hAnsi="Arial Narrow"/>
      <w:sz w:val="16"/>
      <w:szCs w:val="16"/>
      <w:lang w:eastAsia="ru-RU"/>
    </w:rPr>
  </w:style>
  <w:style w:type="paragraph" w:customStyle="1" w:styleId="a50">
    <w:name w:val="a5"/>
    <w:basedOn w:val="a"/>
    <w:rsid w:val="00C0673E"/>
    <w:rPr>
      <w:rFonts w:ascii="Arial" w:hAnsi="Arial" w:cs="Arial"/>
      <w:b/>
      <w:bCs/>
      <w:color w:val="FF0000"/>
      <w:sz w:val="20"/>
      <w:szCs w:val="20"/>
      <w:lang w:eastAsia="ru-RU"/>
    </w:rPr>
  </w:style>
  <w:style w:type="paragraph" w:customStyle="1" w:styleId="a7">
    <w:name w:val="a7"/>
    <w:basedOn w:val="a"/>
    <w:rsid w:val="00C0673E"/>
    <w:pPr>
      <w:spacing w:before="80"/>
      <w:ind w:left="720" w:hanging="360"/>
      <w:jc w:val="both"/>
    </w:pPr>
    <w:rPr>
      <w:rFonts w:ascii="Arial Narrow" w:hAnsi="Arial Narrow"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673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6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cid:image002.jpg@01D03F0A.480ED9A0" TargetMode="External"/><Relationship Id="rId12" Type="http://schemas.openxmlformats.org/officeDocument/2006/relationships/hyperlink" Target="mailto:i.balalueva@alfacapital.r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image004.jpg@01D03F0A.480ED9A0" TargetMode="External"/><Relationship Id="rId5" Type="http://schemas.openxmlformats.org/officeDocument/2006/relationships/image" Target="cid:image001.jpg@01D03F0A.480ED9A0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image003.jpg@01D03F0A.480ED9A0" TargetMode="External"/><Relationship Id="rId14" Type="http://schemas.openxmlformats.org/officeDocument/2006/relationships/image" Target="cid:image005.gif@01D03F0A.480ED9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Savochkina</dc:creator>
  <cp:lastModifiedBy>Savochkina</cp:lastModifiedBy>
  <cp:revision>1</cp:revision>
  <dcterms:created xsi:type="dcterms:W3CDTF">2015-02-02T07:42:00Z</dcterms:created>
  <dcterms:modified xsi:type="dcterms:W3CDTF">2015-02-02T14:17:00Z</dcterms:modified>
</cp:coreProperties>
</file>