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60" w:rsidRPr="00AE10F8" w:rsidRDefault="00986893" w:rsidP="00986893">
      <w:pPr>
        <w:rPr>
          <w:b/>
        </w:rPr>
      </w:pPr>
      <w:r>
        <w:rPr>
          <w:b/>
        </w:rPr>
        <w:t xml:space="preserve">Приложение 2. </w:t>
      </w:r>
      <w:r w:rsidR="00AD5BEC" w:rsidRPr="00AE10F8">
        <w:rPr>
          <w:b/>
        </w:rPr>
        <w:t>Оценка ущерба от санкций</w:t>
      </w:r>
    </w:p>
    <w:p w:rsidR="00C12C96" w:rsidRDefault="00EA12C2" w:rsidP="008A6B60">
      <w:pPr>
        <w:jc w:val="both"/>
      </w:pPr>
      <w:r>
        <w:t xml:space="preserve">Секторальные санкции, введённые против России в 3 квартале 2014 г., практически сразу стали </w:t>
      </w:r>
      <w:r w:rsidR="0043683C">
        <w:t>оказывать негативное влияние</w:t>
      </w:r>
      <w:r>
        <w:t xml:space="preserve"> на российскую экономику. Задача оценки </w:t>
      </w:r>
      <w:r w:rsidR="00C12C96">
        <w:t xml:space="preserve">ущерба от санкций </w:t>
      </w:r>
      <w:r>
        <w:t xml:space="preserve">выполнялась в несколько этапов. Ключевым этапом оценки </w:t>
      </w:r>
      <w:r w:rsidR="00C12C96">
        <w:t xml:space="preserve">стало выявление показателя (показателей), </w:t>
      </w:r>
      <w:r w:rsidR="00F0676A">
        <w:t xml:space="preserve">динамика которых </w:t>
      </w:r>
      <w:r w:rsidR="00C12C96">
        <w:t>однозначно связан</w:t>
      </w:r>
      <w:r w:rsidR="00F0676A">
        <w:t>а</w:t>
      </w:r>
      <w:r w:rsidR="00C12C96">
        <w:t xml:space="preserve"> с введением санкций, и одновременно существует до</w:t>
      </w:r>
      <w:r w:rsidR="000A2504">
        <w:t>статочно жесткая корреляционная связь между динамикой этого показателя и динамикой ВВП.</w:t>
      </w:r>
    </w:p>
    <w:p w:rsidR="00BF7D51" w:rsidRDefault="000A2504" w:rsidP="008A6B60">
      <w:pPr>
        <w:jc w:val="both"/>
      </w:pPr>
      <w:r>
        <w:t xml:space="preserve">Секторальные санкции, прежде всего, </w:t>
      </w:r>
      <w:r w:rsidR="00C61A4F">
        <w:t xml:space="preserve">направлены на ограничение возможностей </w:t>
      </w:r>
      <w:r w:rsidR="004A229F">
        <w:t>привлечения капиталов российскими заёмщиками</w:t>
      </w:r>
      <w:r w:rsidR="00C61A4F">
        <w:t xml:space="preserve">. Такое ограничение, в свою очередь, </w:t>
      </w:r>
      <w:r w:rsidR="004A229F">
        <w:t>снижает производственную активность</w:t>
      </w:r>
      <w:r w:rsidR="00061F61">
        <w:t xml:space="preserve">, основанную на </w:t>
      </w:r>
      <w:r w:rsidR="004A229F">
        <w:t>привлечени</w:t>
      </w:r>
      <w:r w:rsidR="00061F61">
        <w:t>и кредитных ресурсов;</w:t>
      </w:r>
      <w:r w:rsidR="004A229F">
        <w:t xml:space="preserve"> замедляет динамику</w:t>
      </w:r>
      <w:r w:rsidR="00C61A4F">
        <w:t xml:space="preserve"> инвестиций в основной капитал</w:t>
      </w:r>
      <w:r w:rsidR="00061F61">
        <w:t>;</w:t>
      </w:r>
      <w:r w:rsidR="004A229F">
        <w:t xml:space="preserve"> ограничивает возможности </w:t>
      </w:r>
      <w:proofErr w:type="spellStart"/>
      <w:r w:rsidR="004A229F">
        <w:t>перекредитования</w:t>
      </w:r>
      <w:proofErr w:type="spellEnd"/>
      <w:r w:rsidR="004A229F">
        <w:t xml:space="preserve"> и т.п.</w:t>
      </w:r>
      <w:r w:rsidR="00C61A4F">
        <w:t xml:space="preserve"> </w:t>
      </w:r>
      <w:r w:rsidR="00BF7D51">
        <w:t xml:space="preserve"> </w:t>
      </w:r>
      <w:proofErr w:type="gramStart"/>
      <w:r w:rsidR="00BF7D51">
        <w:t xml:space="preserve">Учитывая тесную корреляцию между инвестициями в основной капитал и ВВП, показатель инвестиций </w:t>
      </w:r>
      <w:r w:rsidR="00F0676A">
        <w:t>в основной капитал было решено проверить на предмет того, что его динамика обусловлена введением санкций.</w:t>
      </w:r>
      <w:proofErr w:type="gramEnd"/>
    </w:p>
    <w:p w:rsidR="000A2504" w:rsidRDefault="00645D2B" w:rsidP="008A6B60">
      <w:pPr>
        <w:jc w:val="both"/>
      </w:pPr>
      <w:r>
        <w:t xml:space="preserve">Анализ показал следующее. Во-первых,  на инвестиционный климат (а значит, и на инвестиции в основной капитал) оказывают влияние многие факторы, среди которых санкции не являются основными. К таким факторам относятся, например, </w:t>
      </w:r>
      <w:r w:rsidR="000E4CE3">
        <w:t xml:space="preserve">само </w:t>
      </w:r>
      <w:r>
        <w:t>замедление экономического роста в России, неопределённость экономической ситуации</w:t>
      </w:r>
      <w:r w:rsidR="000E4CE3">
        <w:t>, налоговая нагрузка</w:t>
      </w:r>
      <w:r>
        <w:t xml:space="preserve"> и т.д. Анализ данных Росстата по инвестициям в основной капитал подтвержда</w:t>
      </w:r>
      <w:r w:rsidR="00061F61">
        <w:t>е</w:t>
      </w:r>
      <w:r>
        <w:t>т неоднозначность взаимосвязи между динамикой инвестиций и санкциями. Р</w:t>
      </w:r>
      <w:r w:rsidR="00BD714B">
        <w:t>ост инвестиций в основной капитал за март-октябрь 2014 г.</w:t>
      </w:r>
      <w:r w:rsidR="00F0676A">
        <w:t xml:space="preserve"> </w:t>
      </w:r>
      <w:r>
        <w:t xml:space="preserve">(период введения санкций, в том числе секторальных) был выше, чем в марте-октябре 2013 г. (219,7% в 2014 г.  против 217,9% в 2013 г.). </w:t>
      </w:r>
      <w:r w:rsidR="00E7354E">
        <w:t>Во-вторых,</w:t>
      </w:r>
      <w:r w:rsidR="00F0676A">
        <w:t xml:space="preserve"> </w:t>
      </w:r>
      <w:r w:rsidR="00E7354E">
        <w:t>а</w:t>
      </w:r>
      <w:r w:rsidR="00F0676A">
        <w:t>нализ структуры</w:t>
      </w:r>
      <w:r w:rsidR="00E7354E">
        <w:t xml:space="preserve"> инвестиций в основной капитал показал, что </w:t>
      </w:r>
      <w:r w:rsidR="00EA12C2">
        <w:t>в 2013 г. доля кредитов иностранных банков и иностранных инвестиций составила 6,8%, в 1 полугодии 2014 г. эта доля составила 2,1%. То есть данные</w:t>
      </w:r>
      <w:r w:rsidR="00E7354E">
        <w:t xml:space="preserve"> источник</w:t>
      </w:r>
      <w:r w:rsidR="00EA12C2">
        <w:t>и</w:t>
      </w:r>
      <w:r w:rsidR="00E7354E">
        <w:t xml:space="preserve"> </w:t>
      </w:r>
      <w:r w:rsidR="00EA12C2">
        <w:t>инвестиций, на которые в наибольшей степени могли повлиять санкции, явно не являются в инвестициях превалирующими</w:t>
      </w:r>
      <w:r w:rsidR="00E7354E">
        <w:t xml:space="preserve">. </w:t>
      </w:r>
      <w:r w:rsidR="00BD714B">
        <w:t xml:space="preserve"> </w:t>
      </w:r>
      <w:r>
        <w:t xml:space="preserve">Указанные </w:t>
      </w:r>
      <w:r w:rsidR="007E2CEF">
        <w:t>особенности показателя инвестиций в основной капитал не позволили использовать этот показатель при оценке ущерба от санкций.</w:t>
      </w:r>
    </w:p>
    <w:p w:rsidR="00AE10F8" w:rsidRDefault="00C60179" w:rsidP="008A6B60">
      <w:pPr>
        <w:jc w:val="both"/>
      </w:pPr>
      <w:r>
        <w:t>А</w:t>
      </w:r>
      <w:r w:rsidR="00EA12C2">
        <w:t xml:space="preserve">нализ </w:t>
      </w:r>
      <w:r>
        <w:t>другого</w:t>
      </w:r>
      <w:r w:rsidR="00EA12C2">
        <w:t xml:space="preserve"> </w:t>
      </w:r>
      <w:r>
        <w:t>индикатора –</w:t>
      </w:r>
      <w:r w:rsidR="00EA12C2">
        <w:t xml:space="preserve"> объём</w:t>
      </w:r>
      <w:r>
        <w:t>а</w:t>
      </w:r>
      <w:r w:rsidR="00EA12C2">
        <w:t xml:space="preserve"> внешнего</w:t>
      </w:r>
      <w:r w:rsidR="00AE10F8">
        <w:t xml:space="preserve"> долг</w:t>
      </w:r>
      <w:r w:rsidR="00EA12C2">
        <w:t>а</w:t>
      </w:r>
      <w:r w:rsidR="00AE10F8">
        <w:t xml:space="preserve"> корпоративного сектора</w:t>
      </w:r>
      <w:r>
        <w:t xml:space="preserve"> –</w:t>
      </w:r>
      <w:r w:rsidR="00EA12C2">
        <w:t xml:space="preserve"> </w:t>
      </w:r>
      <w:r>
        <w:t>показал лучшую картину (в целях исследования)</w:t>
      </w:r>
      <w:r w:rsidR="00AE10F8">
        <w:t>. По данным Банка России, в 3 квартале</w:t>
      </w:r>
      <w:r w:rsidR="00061F61">
        <w:t xml:space="preserve"> 2014 года</w:t>
      </w:r>
      <w:r w:rsidR="00AE10F8">
        <w:t xml:space="preserve"> </w:t>
      </w:r>
      <w:r>
        <w:t>этот показатель</w:t>
      </w:r>
      <w:r w:rsidR="00AE10F8">
        <w:t xml:space="preserve"> сократился. </w:t>
      </w:r>
      <w:r w:rsidR="007E2CEF">
        <w:t>Поскольку из-за введения секторальных санкций уменьшились возможности заимствования за рубежом, можно сделать вывод, что сокращение объёма внешнего долга корпоративного сектора в</w:t>
      </w:r>
      <w:r w:rsidR="00AE10F8">
        <w:t xml:space="preserve"> значительной степени</w:t>
      </w:r>
      <w:r w:rsidR="007E2CEF">
        <w:t xml:space="preserve"> было</w:t>
      </w:r>
      <w:r w:rsidR="00AE10F8">
        <w:t xml:space="preserve"> </w:t>
      </w:r>
      <w:r w:rsidR="007E2CEF">
        <w:t>вызвано именно</w:t>
      </w:r>
      <w:r w:rsidR="00AE10F8">
        <w:t xml:space="preserve"> санкциями. </w:t>
      </w:r>
    </w:p>
    <w:p w:rsidR="00AE10F8" w:rsidRDefault="00AE10F8" w:rsidP="008A6B60">
      <w:pPr>
        <w:jc w:val="both"/>
      </w:pPr>
      <w:r>
        <w:t xml:space="preserve">В свою очередь, сокращение долга говорит о снижении возможностей корпоративного кредитования. А это отражается на экономике, в конечном итоге, в виде сокращения выпуска и ВВП. </w:t>
      </w:r>
      <w:r w:rsidR="00B616D7">
        <w:t xml:space="preserve"> Рассмотрим механизм взаимодействия внешнего долга и экономического роста более подробно.</w:t>
      </w:r>
    </w:p>
    <w:p w:rsidR="00544DC2" w:rsidRDefault="002E7EE1" w:rsidP="008A6B60">
      <w:pPr>
        <w:jc w:val="both"/>
      </w:pPr>
      <w:r>
        <w:t>Внешний долг</w:t>
      </w:r>
      <w:r w:rsidR="006422E2">
        <w:t>, до определённого предела</w:t>
      </w:r>
      <w:r w:rsidR="00B616D7">
        <w:rPr>
          <w:rStyle w:val="a5"/>
        </w:rPr>
        <w:footnoteReference w:id="1"/>
      </w:r>
      <w:r w:rsidR="006422E2">
        <w:t>,</w:t>
      </w:r>
      <w:r>
        <w:t xml:space="preserve"> может способствовать ускорению экономического роста при условии, что займы используются для инвестиций. Многочисленные примеры развитых </w:t>
      </w:r>
      <w:r>
        <w:lastRenderedPageBreak/>
        <w:t xml:space="preserve">стран это подтверждают. </w:t>
      </w:r>
      <w:r w:rsidR="00144FEA">
        <w:t xml:space="preserve">Нельзя не отметить, что вследствие эффекта снижения прибыли на инвестируемый капитал экономический рост </w:t>
      </w:r>
      <w:r w:rsidR="000E4CE3">
        <w:t>может</w:t>
      </w:r>
      <w:r w:rsidR="00144FEA">
        <w:t xml:space="preserve"> замедляться по мере роста долга. Тем не менее, рост будет.</w:t>
      </w:r>
    </w:p>
    <w:p w:rsidR="002E7EE1" w:rsidRDefault="00144FEA" w:rsidP="008A6B60">
      <w:pPr>
        <w:jc w:val="both"/>
      </w:pPr>
      <w:r>
        <w:t>В определённых случаях</w:t>
      </w:r>
      <w:r w:rsidR="002E7EE1">
        <w:t xml:space="preserve"> наращивание внешнего долга</w:t>
      </w:r>
      <w:r>
        <w:t xml:space="preserve"> может</w:t>
      </w:r>
      <w:r w:rsidR="002E7EE1">
        <w:t xml:space="preserve"> </w:t>
      </w:r>
      <w:r>
        <w:t>привести</w:t>
      </w:r>
      <w:r w:rsidR="002E7EE1">
        <w:t xml:space="preserve"> к </w:t>
      </w:r>
      <w:r>
        <w:t>замедлению</w:t>
      </w:r>
      <w:r w:rsidR="002E7EE1">
        <w:t xml:space="preserve"> экономического роста. Это происходит в случае, если</w:t>
      </w:r>
      <w:r w:rsidR="00B616D7">
        <w:t xml:space="preserve"> долг</w:t>
      </w:r>
      <w:r>
        <w:t xml:space="preserve"> чрезмерен</w:t>
      </w:r>
      <w:r w:rsidR="004A229F">
        <w:t>,</w:t>
      </w:r>
      <w:r w:rsidR="002E7EE1">
        <w:t xml:space="preserve"> </w:t>
      </w:r>
      <w:r>
        <w:t xml:space="preserve">его </w:t>
      </w:r>
      <w:r w:rsidR="002E7EE1">
        <w:t xml:space="preserve">величина </w:t>
      </w:r>
      <w:r>
        <w:t xml:space="preserve">явно превышает возможности погашения, </w:t>
      </w:r>
      <w:r w:rsidR="004A229F">
        <w:t>а</w:t>
      </w:r>
      <w:r w:rsidR="002E7EE1">
        <w:t xml:space="preserve"> стоимость его обслуживания превышает </w:t>
      </w:r>
      <w:r w:rsidR="006422E2">
        <w:t>в</w:t>
      </w:r>
      <w:r>
        <w:t>ыгоды от инвестиций</w:t>
      </w:r>
      <w:r w:rsidR="006422E2">
        <w:t xml:space="preserve">. В </w:t>
      </w:r>
      <w:r>
        <w:t>результате</w:t>
      </w:r>
      <w:r w:rsidR="006422E2">
        <w:t xml:space="preserve"> </w:t>
      </w:r>
      <w:r>
        <w:t>может</w:t>
      </w:r>
      <w:r w:rsidR="006422E2">
        <w:t xml:space="preserve"> сни</w:t>
      </w:r>
      <w:r>
        <w:t>зиться</w:t>
      </w:r>
      <w:r w:rsidR="006422E2">
        <w:t xml:space="preserve"> инвестиционн</w:t>
      </w:r>
      <w:r>
        <w:t>ая</w:t>
      </w:r>
      <w:r w:rsidR="006422E2">
        <w:t xml:space="preserve"> активност</w:t>
      </w:r>
      <w:r>
        <w:t xml:space="preserve">ь, </w:t>
      </w:r>
      <w:r w:rsidR="00B616D7">
        <w:t xml:space="preserve">поскольку </w:t>
      </w:r>
      <w:r>
        <w:t xml:space="preserve">выгода от дополнительных инвестиций частично «съедается» платежами по обслуживанию долга. </w:t>
      </w:r>
    </w:p>
    <w:p w:rsidR="005B50A3" w:rsidRDefault="005B50A3" w:rsidP="008A6B60">
      <w:pPr>
        <w:jc w:val="both"/>
      </w:pPr>
      <w:r>
        <w:t xml:space="preserve">Учитывая то, что в России величина внешней задолженности на фоне других стран относительно невелика, </w:t>
      </w:r>
      <w:r w:rsidR="004A229F">
        <w:t xml:space="preserve">ускорение экономического роста сопровождалось бы </w:t>
      </w:r>
      <w:r>
        <w:t>наращивание</w:t>
      </w:r>
      <w:r w:rsidR="004A229F">
        <w:t>м</w:t>
      </w:r>
      <w:r>
        <w:t xml:space="preserve"> задолженности </w:t>
      </w:r>
      <w:r w:rsidR="004A229F">
        <w:t>корпоративного сектора</w:t>
      </w:r>
      <w:r>
        <w:t>. Поэтому примем гипотезу, что между величиной ВВП и величиной внешней корпоративной задолженности существует прямая зависимость.</w:t>
      </w:r>
    </w:p>
    <w:p w:rsidR="00C51BFA" w:rsidRDefault="00C51BFA" w:rsidP="008A6B60">
      <w:pPr>
        <w:jc w:val="both"/>
      </w:pPr>
      <w:r>
        <w:t>В качестве методики оценки ущерба от санкций предлагается следующий подход.</w:t>
      </w:r>
    </w:p>
    <w:p w:rsidR="00C51BFA" w:rsidRDefault="00C51BFA" w:rsidP="008A6B60">
      <w:pPr>
        <w:pStyle w:val="a6"/>
        <w:numPr>
          <w:ilvl w:val="0"/>
          <w:numId w:val="1"/>
        </w:numPr>
        <w:jc w:val="both"/>
      </w:pPr>
      <w:r>
        <w:t xml:space="preserve">Проверка наличия статистической зависимости ВВП от внешнего долга корпоративного сектора. </w:t>
      </w:r>
      <w:r w:rsidR="008B4D21">
        <w:t xml:space="preserve">Зависимость выявляется применительно к квартальным данным  ВВП и внешнего долга корпоративного сектора; последний рассчитан как разница между показателями на начало соответствующих кварталов. </w:t>
      </w:r>
      <w:r>
        <w:t xml:space="preserve">Для проверки </w:t>
      </w:r>
      <w:r w:rsidR="008B4D21">
        <w:t>используется графический метод, а также рассчитывается коэффициент корреляции.</w:t>
      </w:r>
    </w:p>
    <w:p w:rsidR="00475893" w:rsidRDefault="00C51BFA" w:rsidP="008A6B60">
      <w:pPr>
        <w:pStyle w:val="a6"/>
        <w:numPr>
          <w:ilvl w:val="0"/>
          <w:numId w:val="1"/>
        </w:numPr>
        <w:jc w:val="both"/>
      </w:pPr>
      <w:r>
        <w:t>При наличии значимой статистической</w:t>
      </w:r>
      <w:r w:rsidR="00AE10F8">
        <w:t xml:space="preserve"> зависимост</w:t>
      </w:r>
      <w:r>
        <w:t>и</w:t>
      </w:r>
      <w:r w:rsidR="00AE10F8">
        <w:t xml:space="preserve"> </w:t>
      </w:r>
      <w:r w:rsidR="00475893">
        <w:t xml:space="preserve">строится регрессионная модель, описывающая данную зависимость. Эндогенной (зависимой) переменной в ней является величина квартального ВВП, по крайней </w:t>
      </w:r>
      <w:proofErr w:type="gramStart"/>
      <w:r w:rsidR="00475893">
        <w:t>мере</w:t>
      </w:r>
      <w:proofErr w:type="gramEnd"/>
      <w:r w:rsidR="00475893">
        <w:t xml:space="preserve"> одной из экзогенных (внешних) переменных является величина квартальной внешней корпоративной задолженности.</w:t>
      </w:r>
    </w:p>
    <w:p w:rsidR="00670A99" w:rsidRDefault="00475893" w:rsidP="008A6B60">
      <w:pPr>
        <w:pStyle w:val="a6"/>
        <w:numPr>
          <w:ilvl w:val="0"/>
          <w:numId w:val="1"/>
        </w:numPr>
        <w:jc w:val="both"/>
      </w:pPr>
      <w:r>
        <w:t>Производится прогнозирование</w:t>
      </w:r>
      <w:r w:rsidR="00670A99">
        <w:t xml:space="preserve"> (определение)</w:t>
      </w:r>
      <w:r>
        <w:t xml:space="preserve"> экзогенных переменных. Величина квартальной внешней корпоративной задолженности </w:t>
      </w:r>
      <w:r w:rsidR="00AE10F8">
        <w:t xml:space="preserve"> </w:t>
      </w:r>
      <w:r w:rsidR="00670A99">
        <w:t>задаётся</w:t>
      </w:r>
      <w:r>
        <w:t>,</w:t>
      </w:r>
      <w:r w:rsidR="00AE10F8">
        <w:t xml:space="preserve"> исходя </w:t>
      </w:r>
      <w:proofErr w:type="gramStart"/>
      <w:r w:rsidR="00AE10F8">
        <w:t>из</w:t>
      </w:r>
      <w:proofErr w:type="gramEnd"/>
      <w:r>
        <w:t>:</w:t>
      </w:r>
      <w:r w:rsidR="00AE10F8">
        <w:t xml:space="preserve"> </w:t>
      </w:r>
    </w:p>
    <w:p w:rsidR="00670A99" w:rsidRDefault="00670A99" w:rsidP="008A6B60">
      <w:pPr>
        <w:pStyle w:val="a6"/>
        <w:jc w:val="both"/>
      </w:pPr>
      <w:r>
        <w:t>а) фактической ситуации, т.е. используются фактические данные по корпоративной внешней задолженности и другим экзогенным переменным (при их наличии);</w:t>
      </w:r>
    </w:p>
    <w:p w:rsidR="00670A99" w:rsidRDefault="00AE10F8" w:rsidP="008A6B60">
      <w:pPr>
        <w:pStyle w:val="a6"/>
        <w:jc w:val="both"/>
      </w:pPr>
      <w:r>
        <w:t>б) гипотетической ситуации, к</w:t>
      </w:r>
      <w:r w:rsidR="00670A99">
        <w:t>ак если бы</w:t>
      </w:r>
      <w:r>
        <w:t xml:space="preserve"> санкции не</w:t>
      </w:r>
      <w:r w:rsidR="00670A99">
        <w:t xml:space="preserve"> были</w:t>
      </w:r>
      <w:r>
        <w:t xml:space="preserve"> </w:t>
      </w:r>
      <w:r w:rsidR="000E4CE3">
        <w:t>введены</w:t>
      </w:r>
      <w:r w:rsidR="00670A99">
        <w:t xml:space="preserve">. В этом случае прогнозное значение может быть получено как </w:t>
      </w:r>
      <w:r w:rsidR="00244ED7">
        <w:t>произведение последнего значения за квартал на средний рост показателя</w:t>
      </w:r>
      <w:r w:rsidR="00670A99">
        <w:t xml:space="preserve"> за последние несколько лет. </w:t>
      </w:r>
    </w:p>
    <w:p w:rsidR="00AE10F8" w:rsidRDefault="00670A99" w:rsidP="008A6B60">
      <w:pPr>
        <w:pStyle w:val="a6"/>
        <w:numPr>
          <w:ilvl w:val="0"/>
          <w:numId w:val="1"/>
        </w:numPr>
        <w:jc w:val="both"/>
      </w:pPr>
      <w:r>
        <w:t>Производится прогнозирование эндогенной переменной (квартального ВВП) для фактической и гипотетической ситуаций. Р</w:t>
      </w:r>
      <w:r w:rsidR="0000731D">
        <w:t xml:space="preserve">азница между </w:t>
      </w:r>
      <w:r>
        <w:t xml:space="preserve">полученными величинами </w:t>
      </w:r>
      <w:r w:rsidR="0000731D">
        <w:t>и составит величину ущерба от санкций.</w:t>
      </w:r>
    </w:p>
    <w:p w:rsidR="00F02C01" w:rsidRDefault="00F02C01" w:rsidP="008A6B60">
      <w:pPr>
        <w:jc w:val="both"/>
      </w:pPr>
      <w:r>
        <w:t>Результаты пошаговой реализации методики отражены ниже.</w:t>
      </w:r>
    </w:p>
    <w:p w:rsidR="00F02C01" w:rsidRDefault="00F02C01" w:rsidP="008A6B60">
      <w:pPr>
        <w:pStyle w:val="a6"/>
        <w:numPr>
          <w:ilvl w:val="0"/>
          <w:numId w:val="2"/>
        </w:numPr>
        <w:jc w:val="both"/>
      </w:pPr>
      <w:r>
        <w:t>Графический анализ очищенных от сезонной компоненты рядов квартального ВВП и квартального внешнего долга корпоративного сектора говорит о возможном наличии зависимости</w:t>
      </w:r>
      <w:r w:rsidR="00C5514C">
        <w:t xml:space="preserve"> (Рис. 1)</w:t>
      </w:r>
      <w:r>
        <w:t xml:space="preserve">. Коэффициент корреляции составляет 0,95, что также говорит о наличии довольно сильной линейной взаимосвязи между выборками. </w:t>
      </w:r>
    </w:p>
    <w:p w:rsidR="00E55481" w:rsidRDefault="00E55481" w:rsidP="008A6B60">
      <w:pPr>
        <w:pStyle w:val="a6"/>
        <w:jc w:val="both"/>
      </w:pPr>
    </w:p>
    <w:p w:rsidR="003E6EC6" w:rsidRDefault="003E6EC6" w:rsidP="008A6B60">
      <w:pPr>
        <w:pStyle w:val="a6"/>
        <w:jc w:val="both"/>
        <w:rPr>
          <w:b/>
        </w:rPr>
      </w:pPr>
    </w:p>
    <w:p w:rsidR="003E6EC6" w:rsidRDefault="003E6EC6" w:rsidP="008A6B60">
      <w:pPr>
        <w:pStyle w:val="a6"/>
        <w:jc w:val="both"/>
        <w:rPr>
          <w:b/>
        </w:rPr>
      </w:pPr>
    </w:p>
    <w:p w:rsidR="00C5514C" w:rsidRPr="00E55481" w:rsidRDefault="00C5514C" w:rsidP="008A6B60">
      <w:pPr>
        <w:pStyle w:val="a6"/>
        <w:jc w:val="both"/>
        <w:rPr>
          <w:b/>
        </w:rPr>
      </w:pPr>
      <w:r w:rsidRPr="00E55481">
        <w:rPr>
          <w:b/>
        </w:rPr>
        <w:lastRenderedPageBreak/>
        <w:t>Рис. 1. ВВП и внешний долг корпоративного сектора (ряды очищены от сезонности методом скользящей средней), млрд. руб.</w:t>
      </w:r>
    </w:p>
    <w:p w:rsidR="00C5514C" w:rsidRDefault="00C5514C" w:rsidP="00C5514C">
      <w:pPr>
        <w:pStyle w:val="a6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5481" w:rsidRDefault="00E55481" w:rsidP="00E55481">
      <w:pPr>
        <w:pStyle w:val="a6"/>
      </w:pPr>
      <w:r>
        <w:t>Источники: Росстат, Банк России</w:t>
      </w:r>
    </w:p>
    <w:p w:rsidR="00E55481" w:rsidRDefault="00E55481" w:rsidP="00E55481">
      <w:pPr>
        <w:pStyle w:val="a6"/>
      </w:pPr>
    </w:p>
    <w:p w:rsidR="0000731D" w:rsidRDefault="00E55481" w:rsidP="008A6B60">
      <w:pPr>
        <w:pStyle w:val="a6"/>
        <w:numPr>
          <w:ilvl w:val="0"/>
          <w:numId w:val="2"/>
        </w:numPr>
        <w:jc w:val="both"/>
      </w:pPr>
      <w:r>
        <w:t>В результате проведения регрессионного анализа</w:t>
      </w:r>
      <w:r w:rsidR="00F02C01">
        <w:t xml:space="preserve"> (с помощью с</w:t>
      </w:r>
      <w:r w:rsidR="003F3ED9">
        <w:t>татистическ</w:t>
      </w:r>
      <w:r w:rsidR="00F02C01">
        <w:t xml:space="preserve">ого пакета </w:t>
      </w:r>
      <w:proofErr w:type="spellStart"/>
      <w:r w:rsidR="00F02C01">
        <w:rPr>
          <w:lang w:val="en-US"/>
        </w:rPr>
        <w:t>EViews</w:t>
      </w:r>
      <w:proofErr w:type="spellEnd"/>
      <w:r w:rsidR="00F02C01">
        <w:t xml:space="preserve">) </w:t>
      </w:r>
      <w:r>
        <w:t>было</w:t>
      </w:r>
      <w:r w:rsidR="00B229BD">
        <w:t xml:space="preserve"> получено следующее уравнение</w:t>
      </w:r>
      <w:r w:rsidR="003F3ED9">
        <w:t xml:space="preserve"> регрессии:</w:t>
      </w:r>
    </w:p>
    <w:p w:rsidR="003F3ED9" w:rsidRPr="00C212F0" w:rsidRDefault="003F3ED9" w:rsidP="008A6B60">
      <w:pPr>
        <w:ind w:left="709"/>
        <w:jc w:val="both"/>
      </w:pPr>
      <w:r>
        <w:t>ВВП</w:t>
      </w:r>
      <w:proofErr w:type="spellStart"/>
      <w:proofErr w:type="gramStart"/>
      <w:r w:rsidRPr="00AF49CD">
        <w:rPr>
          <w:vertAlign w:val="subscript"/>
          <w:lang w:val="en-US"/>
        </w:rPr>
        <w:t>i</w:t>
      </w:r>
      <w:proofErr w:type="spellEnd"/>
      <w:proofErr w:type="gramEnd"/>
      <w:r w:rsidRPr="00C212F0">
        <w:t xml:space="preserve"> = </w:t>
      </w:r>
      <w:r w:rsidR="00C212F0" w:rsidRPr="00C212F0">
        <w:t>0,6*</w:t>
      </w:r>
      <w:r>
        <w:t>ВВП</w:t>
      </w:r>
      <w:proofErr w:type="spellStart"/>
      <w:r w:rsidRPr="00AF49CD">
        <w:rPr>
          <w:vertAlign w:val="subscript"/>
          <w:lang w:val="en-US"/>
        </w:rPr>
        <w:t>i</w:t>
      </w:r>
      <w:proofErr w:type="spellEnd"/>
      <w:r w:rsidRPr="00C212F0">
        <w:rPr>
          <w:vertAlign w:val="subscript"/>
        </w:rPr>
        <w:t>-1</w:t>
      </w:r>
      <w:r w:rsidRPr="00C212F0">
        <w:t xml:space="preserve"> + </w:t>
      </w:r>
      <w:r w:rsidR="00C212F0" w:rsidRPr="00C212F0">
        <w:t>0,42*</w:t>
      </w:r>
      <w:r w:rsidR="00AF49CD">
        <w:t>КД</w:t>
      </w:r>
      <w:proofErr w:type="spellStart"/>
      <w:r w:rsidR="00AF49CD" w:rsidRPr="00AF49CD">
        <w:rPr>
          <w:vertAlign w:val="subscript"/>
          <w:lang w:val="en-US"/>
        </w:rPr>
        <w:t>i</w:t>
      </w:r>
      <w:proofErr w:type="spellEnd"/>
      <w:r w:rsidR="00AF49CD" w:rsidRPr="00C212F0">
        <w:rPr>
          <w:vertAlign w:val="subscript"/>
        </w:rPr>
        <w:t>-1</w:t>
      </w:r>
      <w:r w:rsidRPr="00C212F0">
        <w:t xml:space="preserve"> + </w:t>
      </w:r>
      <w:r w:rsidR="00C212F0" w:rsidRPr="00C212F0">
        <w:t>130</w:t>
      </w:r>
      <w:r w:rsidR="00D5382F">
        <w:t>0,2</w:t>
      </w:r>
      <w:r w:rsidR="00C212F0">
        <w:t>,</w:t>
      </w:r>
      <w:r w:rsidR="00C212F0" w:rsidRPr="00C212F0">
        <w:t xml:space="preserve"> </w:t>
      </w:r>
    </w:p>
    <w:p w:rsidR="00854282" w:rsidRDefault="00C212F0" w:rsidP="008A6B60">
      <w:pPr>
        <w:tabs>
          <w:tab w:val="left" w:pos="426"/>
        </w:tabs>
        <w:ind w:left="709"/>
        <w:jc w:val="both"/>
      </w:pPr>
      <w:r>
        <w:t>г</w:t>
      </w:r>
      <w:r w:rsidR="003F3ED9">
        <w:t xml:space="preserve">де </w:t>
      </w:r>
      <w:r>
        <w:tab/>
      </w:r>
      <w:r w:rsidR="00854282">
        <w:t>ВВП</w:t>
      </w:r>
      <w:proofErr w:type="spellStart"/>
      <w:proofErr w:type="gramStart"/>
      <w:r w:rsidR="00854282" w:rsidRPr="00401F7F">
        <w:rPr>
          <w:vertAlign w:val="subscript"/>
          <w:lang w:val="en-US"/>
        </w:rPr>
        <w:t>i</w:t>
      </w:r>
      <w:proofErr w:type="spellEnd"/>
      <w:proofErr w:type="gramEnd"/>
      <w:r w:rsidR="00854282">
        <w:t xml:space="preserve"> – величина квартального ВВП в </w:t>
      </w:r>
      <w:proofErr w:type="spellStart"/>
      <w:r w:rsidR="00854282">
        <w:rPr>
          <w:lang w:val="en-US"/>
        </w:rPr>
        <w:t>i</w:t>
      </w:r>
      <w:proofErr w:type="spellEnd"/>
      <w:r w:rsidR="00854282" w:rsidRPr="00854282">
        <w:t>-</w:t>
      </w:r>
      <w:r w:rsidR="00854282">
        <w:t>м квартале</w:t>
      </w:r>
      <w:r w:rsidR="00854282">
        <w:rPr>
          <w:rStyle w:val="a5"/>
        </w:rPr>
        <w:footnoteReference w:id="2"/>
      </w:r>
      <w:r w:rsidR="00AF49CD">
        <w:t>,</w:t>
      </w:r>
    </w:p>
    <w:p w:rsidR="00AF49CD" w:rsidRDefault="00C212F0" w:rsidP="008A6B60">
      <w:pPr>
        <w:tabs>
          <w:tab w:val="left" w:pos="426"/>
        </w:tabs>
        <w:ind w:left="709"/>
        <w:jc w:val="both"/>
      </w:pPr>
      <w:r>
        <w:tab/>
      </w:r>
      <w:r w:rsidR="00AF49CD">
        <w:t>ВВП</w:t>
      </w:r>
      <w:proofErr w:type="spellStart"/>
      <w:r w:rsidR="00AF49CD" w:rsidRPr="00401F7F">
        <w:rPr>
          <w:vertAlign w:val="subscript"/>
          <w:lang w:val="en-US"/>
        </w:rPr>
        <w:t>i</w:t>
      </w:r>
      <w:proofErr w:type="spellEnd"/>
      <w:r w:rsidR="00AF49CD" w:rsidRPr="00401F7F">
        <w:rPr>
          <w:vertAlign w:val="subscript"/>
        </w:rPr>
        <w:t>-1</w:t>
      </w:r>
      <w:r w:rsidR="00AF49CD">
        <w:t xml:space="preserve"> – величина квартального ВВП в (</w:t>
      </w:r>
      <w:proofErr w:type="spellStart"/>
      <w:r w:rsidR="00AF49CD">
        <w:rPr>
          <w:lang w:val="en-US"/>
        </w:rPr>
        <w:t>i</w:t>
      </w:r>
      <w:proofErr w:type="spellEnd"/>
      <w:r w:rsidR="00AF49CD">
        <w:t>-1)</w:t>
      </w:r>
      <w:r w:rsidR="00AF49CD" w:rsidRPr="00854282">
        <w:t>-</w:t>
      </w:r>
      <w:r w:rsidR="00AF49CD">
        <w:t>м квартале,</w:t>
      </w:r>
    </w:p>
    <w:p w:rsidR="003F3ED9" w:rsidRDefault="00C212F0" w:rsidP="008A6B60">
      <w:pPr>
        <w:tabs>
          <w:tab w:val="left" w:pos="426"/>
        </w:tabs>
        <w:ind w:left="709"/>
        <w:jc w:val="both"/>
      </w:pPr>
      <w:r>
        <w:tab/>
      </w:r>
      <w:r w:rsidR="00AF49CD">
        <w:t>КД</w:t>
      </w:r>
      <w:proofErr w:type="spellStart"/>
      <w:r w:rsidR="00AF49CD" w:rsidRPr="00AF49CD">
        <w:rPr>
          <w:vertAlign w:val="subscript"/>
          <w:lang w:val="en-US"/>
        </w:rPr>
        <w:t>i</w:t>
      </w:r>
      <w:proofErr w:type="spellEnd"/>
      <w:r w:rsidR="00AF49CD" w:rsidRPr="00AF49CD">
        <w:rPr>
          <w:vertAlign w:val="subscript"/>
        </w:rPr>
        <w:t>-1</w:t>
      </w:r>
      <w:r w:rsidR="00AF49CD">
        <w:t xml:space="preserve">  – </w:t>
      </w:r>
      <w:r>
        <w:t>величина общей внешней задолженности</w:t>
      </w:r>
      <w:r w:rsidR="00AF49CD">
        <w:t xml:space="preserve"> прочих секторов (не государство, не банки)</w:t>
      </w:r>
      <w:r>
        <w:t xml:space="preserve"> в (</w:t>
      </w:r>
      <w:proofErr w:type="spellStart"/>
      <w:r>
        <w:rPr>
          <w:lang w:val="en-US"/>
        </w:rPr>
        <w:t>i</w:t>
      </w:r>
      <w:proofErr w:type="spellEnd"/>
      <w:r>
        <w:t>-1)</w:t>
      </w:r>
      <w:r w:rsidRPr="00854282">
        <w:t>-</w:t>
      </w:r>
      <w:r>
        <w:t>м квартале</w:t>
      </w:r>
      <w:r w:rsidR="003F3ED9">
        <w:t>.</w:t>
      </w:r>
    </w:p>
    <w:p w:rsidR="00161650" w:rsidRDefault="00161650" w:rsidP="008A6B60">
      <w:pPr>
        <w:tabs>
          <w:tab w:val="left" w:pos="426"/>
        </w:tabs>
        <w:ind w:left="709"/>
        <w:jc w:val="both"/>
      </w:pPr>
      <w:r>
        <w:t xml:space="preserve">Таким образом, можно констатировать </w:t>
      </w:r>
      <w:r w:rsidRPr="000E4CE3">
        <w:rPr>
          <w:i/>
        </w:rPr>
        <w:t>наличие лаговой зависимости ВВП от корпоративной внешней задолженности в предыдущем квартале</w:t>
      </w:r>
      <w:r>
        <w:t xml:space="preserve"> и от В</w:t>
      </w:r>
      <w:proofErr w:type="gramStart"/>
      <w:r>
        <w:t>ВП в пр</w:t>
      </w:r>
      <w:proofErr w:type="gramEnd"/>
      <w:r>
        <w:t>едыдущем квартале.</w:t>
      </w:r>
    </w:p>
    <w:p w:rsidR="00B229BD" w:rsidRPr="004A229F" w:rsidRDefault="00B229BD" w:rsidP="008A6B60">
      <w:pPr>
        <w:pStyle w:val="a6"/>
        <w:numPr>
          <w:ilvl w:val="0"/>
          <w:numId w:val="2"/>
        </w:numPr>
        <w:tabs>
          <w:tab w:val="left" w:pos="426"/>
        </w:tabs>
        <w:jc w:val="both"/>
      </w:pPr>
      <w:r w:rsidRPr="004A229F">
        <w:t>Для построения прогноз</w:t>
      </w:r>
      <w:r w:rsidR="00A31D59" w:rsidRPr="004A229F">
        <w:t>ов</w:t>
      </w:r>
      <w:r w:rsidRPr="004A229F">
        <w:t xml:space="preserve"> квартального ВВП до конца 2014 г. (т.е. за </w:t>
      </w:r>
      <w:r w:rsidR="00D5382F" w:rsidRPr="004A229F">
        <w:t>4 квартал</w:t>
      </w:r>
      <w:r w:rsidRPr="004A229F">
        <w:t>), в соответствии с построенным уравнением регрессии, необходимо знать значения величины внешней корпоративной задолженности в 3 квартал</w:t>
      </w:r>
      <w:r w:rsidR="00D5593F" w:rsidRPr="004A229F">
        <w:t>е</w:t>
      </w:r>
      <w:r w:rsidRPr="004A229F">
        <w:t xml:space="preserve"> 20</w:t>
      </w:r>
      <w:r w:rsidR="00A31D59" w:rsidRPr="004A229F">
        <w:t>14 г., а также значени</w:t>
      </w:r>
      <w:r w:rsidR="00D5593F" w:rsidRPr="004A229F">
        <w:t>е</w:t>
      </w:r>
      <w:r w:rsidR="00A31D59" w:rsidRPr="004A229F">
        <w:t xml:space="preserve"> величин</w:t>
      </w:r>
      <w:r w:rsidR="00D5593F" w:rsidRPr="004A229F">
        <w:t>ы</w:t>
      </w:r>
      <w:r w:rsidRPr="004A229F">
        <w:t xml:space="preserve"> ВВП в т</w:t>
      </w:r>
      <w:r w:rsidR="00D5593F" w:rsidRPr="004A229F">
        <w:t>от</w:t>
      </w:r>
      <w:r w:rsidRPr="004A229F">
        <w:t xml:space="preserve"> же пе</w:t>
      </w:r>
      <w:r w:rsidR="00D5593F" w:rsidRPr="004A229F">
        <w:t>риод</w:t>
      </w:r>
      <w:r w:rsidRPr="004A229F">
        <w:t xml:space="preserve">.  </w:t>
      </w:r>
      <w:r w:rsidR="00A31D59" w:rsidRPr="004A229F">
        <w:t>Фактическ</w:t>
      </w:r>
      <w:r w:rsidR="00D5593F" w:rsidRPr="004A229F">
        <w:t>о</w:t>
      </w:r>
      <w:r w:rsidR="00A31D59" w:rsidRPr="004A229F">
        <w:t>е значени</w:t>
      </w:r>
      <w:r w:rsidR="00D5593F" w:rsidRPr="004A229F">
        <w:t>е</w:t>
      </w:r>
      <w:r w:rsidR="00A31D59" w:rsidRPr="004A229F">
        <w:t xml:space="preserve"> ВВП привод</w:t>
      </w:r>
      <w:r w:rsidR="00D5593F" w:rsidRPr="004A229F">
        <w:t>и</w:t>
      </w:r>
      <w:r w:rsidR="00A31D59" w:rsidRPr="004A229F">
        <w:t xml:space="preserve">тся Росстатом.  </w:t>
      </w:r>
      <w:r w:rsidRPr="004A229F">
        <w:t>Фактическ</w:t>
      </w:r>
      <w:r w:rsidR="00D5593F" w:rsidRPr="004A229F">
        <w:t>о</w:t>
      </w:r>
      <w:r w:rsidRPr="004A229F">
        <w:t>е значени</w:t>
      </w:r>
      <w:r w:rsidR="00D5593F" w:rsidRPr="004A229F">
        <w:t>е</w:t>
      </w:r>
      <w:r w:rsidRPr="004A229F">
        <w:t xml:space="preserve"> внешней задолженности рассчитыва</w:t>
      </w:r>
      <w:r w:rsidR="00D5593F" w:rsidRPr="004A229F">
        <w:t>е</w:t>
      </w:r>
      <w:r w:rsidRPr="004A229F">
        <w:t xml:space="preserve">тся исходя из данных по задолженности на начало квартала, предоставляемых Банком России. </w:t>
      </w:r>
    </w:p>
    <w:p w:rsidR="00C5514C" w:rsidRPr="004A229F" w:rsidRDefault="00581EF1" w:rsidP="008A6B60">
      <w:pPr>
        <w:pStyle w:val="a6"/>
        <w:tabs>
          <w:tab w:val="left" w:pos="426"/>
        </w:tabs>
        <w:jc w:val="both"/>
      </w:pPr>
      <w:r w:rsidRPr="004A229F">
        <w:t xml:space="preserve">Гипотетические значения внешней задолженности рассчитываются </w:t>
      </w:r>
      <w:r w:rsidR="00541511" w:rsidRPr="004A229F">
        <w:t>исходя из среднего роста задолженности</w:t>
      </w:r>
      <w:r w:rsidRPr="004A229F">
        <w:t xml:space="preserve"> за </w:t>
      </w:r>
      <w:r w:rsidR="00541511" w:rsidRPr="004A229F">
        <w:t>1-</w:t>
      </w:r>
      <w:r w:rsidR="00C5514C" w:rsidRPr="004A229F">
        <w:t>3 квартал</w:t>
      </w:r>
      <w:r w:rsidR="00541511" w:rsidRPr="004A229F">
        <w:t>ы</w:t>
      </w:r>
      <w:r w:rsidR="00C5514C" w:rsidRPr="004A229F">
        <w:t xml:space="preserve"> в период с 2010 по 2013 гг.</w:t>
      </w:r>
    </w:p>
    <w:p w:rsidR="00C5514C" w:rsidRDefault="00C5514C" w:rsidP="008A6B60">
      <w:pPr>
        <w:pStyle w:val="a6"/>
        <w:tabs>
          <w:tab w:val="left" w:pos="426"/>
        </w:tabs>
        <w:jc w:val="both"/>
      </w:pPr>
      <w:r w:rsidRPr="004A229F">
        <w:t>Результаты расчётов приведены в Таблице 1.</w:t>
      </w:r>
    </w:p>
    <w:p w:rsidR="00581EF1" w:rsidRPr="00DE06D1" w:rsidRDefault="00161650" w:rsidP="00581EF1">
      <w:pPr>
        <w:pStyle w:val="a6"/>
        <w:tabs>
          <w:tab w:val="left" w:pos="426"/>
        </w:tabs>
        <w:rPr>
          <w:b/>
        </w:rPr>
      </w:pPr>
      <w:r w:rsidRPr="00DE06D1">
        <w:rPr>
          <w:b/>
        </w:rPr>
        <w:lastRenderedPageBreak/>
        <w:t>Т</w:t>
      </w:r>
      <w:r w:rsidR="00C5514C" w:rsidRPr="00DE06D1">
        <w:rPr>
          <w:b/>
        </w:rPr>
        <w:t>аб</w:t>
      </w:r>
      <w:r w:rsidRPr="00DE06D1">
        <w:rPr>
          <w:b/>
        </w:rPr>
        <w:t>лица 1.</w:t>
      </w:r>
      <w:r w:rsidR="00DE06D1" w:rsidRPr="00DE06D1">
        <w:rPr>
          <w:b/>
        </w:rPr>
        <w:t xml:space="preserve"> Фактические и гипотетические значения переменных модели</w:t>
      </w:r>
      <w:r w:rsidR="00541511">
        <w:rPr>
          <w:b/>
        </w:rPr>
        <w:t xml:space="preserve"> в 2013-2014 гг.</w:t>
      </w:r>
      <w:r w:rsidR="00DE06D1" w:rsidRPr="00DE06D1">
        <w:rPr>
          <w:b/>
        </w:rPr>
        <w:t>, млрд. руб.</w:t>
      </w:r>
    </w:p>
    <w:tbl>
      <w:tblPr>
        <w:tblStyle w:val="a9"/>
        <w:tblW w:w="0" w:type="auto"/>
        <w:tblInd w:w="720" w:type="dxa"/>
        <w:tblLayout w:type="fixed"/>
        <w:tblLook w:val="04A0"/>
      </w:tblPr>
      <w:tblGrid>
        <w:gridCol w:w="1660"/>
        <w:gridCol w:w="841"/>
        <w:gridCol w:w="842"/>
        <w:gridCol w:w="841"/>
        <w:gridCol w:w="842"/>
        <w:gridCol w:w="841"/>
        <w:gridCol w:w="842"/>
        <w:gridCol w:w="841"/>
        <w:gridCol w:w="842"/>
      </w:tblGrid>
      <w:tr w:rsidR="00161650" w:rsidTr="00DE06D1">
        <w:tc>
          <w:tcPr>
            <w:tcW w:w="1660" w:type="dxa"/>
          </w:tcPr>
          <w:p w:rsidR="00161650" w:rsidRPr="00541511" w:rsidRDefault="00161650" w:rsidP="00581EF1">
            <w:pPr>
              <w:pStyle w:val="a6"/>
              <w:tabs>
                <w:tab w:val="left" w:pos="426"/>
              </w:tabs>
              <w:ind w:left="0"/>
              <w:rPr>
                <w:b/>
              </w:rPr>
            </w:pPr>
            <w:proofErr w:type="spellStart"/>
            <w:r w:rsidRPr="00541511">
              <w:rPr>
                <w:b/>
              </w:rPr>
              <w:t>Показатель\</w:t>
            </w:r>
            <w:proofErr w:type="spellEnd"/>
            <w:r w:rsidR="00DE06D1" w:rsidRPr="00541511">
              <w:rPr>
                <w:b/>
              </w:rPr>
              <w:t xml:space="preserve"> </w:t>
            </w:r>
            <w:r w:rsidRPr="00541511">
              <w:rPr>
                <w:b/>
              </w:rPr>
              <w:t>период</w:t>
            </w:r>
          </w:p>
        </w:tc>
        <w:tc>
          <w:tcPr>
            <w:tcW w:w="841" w:type="dxa"/>
          </w:tcPr>
          <w:p w:rsidR="00161650" w:rsidRPr="00541511" w:rsidRDefault="00161650" w:rsidP="00DE06D1">
            <w:pPr>
              <w:pStyle w:val="a6"/>
              <w:tabs>
                <w:tab w:val="left" w:pos="426"/>
              </w:tabs>
              <w:ind w:left="-146" w:right="-110"/>
              <w:jc w:val="center"/>
              <w:rPr>
                <w:b/>
              </w:rPr>
            </w:pPr>
            <w:r w:rsidRPr="00541511">
              <w:rPr>
                <w:b/>
              </w:rPr>
              <w:t>1 кв. 2013 г.</w:t>
            </w:r>
          </w:p>
        </w:tc>
        <w:tc>
          <w:tcPr>
            <w:tcW w:w="842" w:type="dxa"/>
          </w:tcPr>
          <w:p w:rsidR="00161650" w:rsidRPr="00541511" w:rsidRDefault="00161650" w:rsidP="00DE06D1">
            <w:pPr>
              <w:pStyle w:val="a6"/>
              <w:tabs>
                <w:tab w:val="left" w:pos="426"/>
              </w:tabs>
              <w:ind w:left="-146" w:right="-110"/>
              <w:jc w:val="center"/>
              <w:rPr>
                <w:b/>
              </w:rPr>
            </w:pPr>
            <w:r w:rsidRPr="00541511">
              <w:rPr>
                <w:b/>
              </w:rPr>
              <w:t>2 кв. 2013 г.</w:t>
            </w:r>
          </w:p>
        </w:tc>
        <w:tc>
          <w:tcPr>
            <w:tcW w:w="841" w:type="dxa"/>
          </w:tcPr>
          <w:p w:rsidR="00161650" w:rsidRPr="00541511" w:rsidRDefault="00161650" w:rsidP="00DE06D1">
            <w:pPr>
              <w:pStyle w:val="a6"/>
              <w:tabs>
                <w:tab w:val="left" w:pos="426"/>
              </w:tabs>
              <w:ind w:left="-146" w:right="-110"/>
              <w:jc w:val="center"/>
              <w:rPr>
                <w:b/>
              </w:rPr>
            </w:pPr>
            <w:r w:rsidRPr="00541511">
              <w:rPr>
                <w:b/>
              </w:rPr>
              <w:t>3 кв. 2013 г.</w:t>
            </w:r>
          </w:p>
        </w:tc>
        <w:tc>
          <w:tcPr>
            <w:tcW w:w="842" w:type="dxa"/>
          </w:tcPr>
          <w:p w:rsidR="00161650" w:rsidRPr="00541511" w:rsidRDefault="00161650" w:rsidP="00DE06D1">
            <w:pPr>
              <w:pStyle w:val="a6"/>
              <w:tabs>
                <w:tab w:val="left" w:pos="426"/>
              </w:tabs>
              <w:ind w:left="-146" w:right="-110"/>
              <w:jc w:val="center"/>
              <w:rPr>
                <w:b/>
              </w:rPr>
            </w:pPr>
            <w:r w:rsidRPr="00541511">
              <w:rPr>
                <w:b/>
              </w:rPr>
              <w:t>4 кв. 2013 г.</w:t>
            </w:r>
          </w:p>
        </w:tc>
        <w:tc>
          <w:tcPr>
            <w:tcW w:w="841" w:type="dxa"/>
          </w:tcPr>
          <w:p w:rsidR="00161650" w:rsidRPr="00541511" w:rsidRDefault="00161650" w:rsidP="00DE06D1">
            <w:pPr>
              <w:pStyle w:val="a6"/>
              <w:tabs>
                <w:tab w:val="left" w:pos="426"/>
              </w:tabs>
              <w:ind w:left="-146" w:right="-110"/>
              <w:jc w:val="center"/>
              <w:rPr>
                <w:b/>
              </w:rPr>
            </w:pPr>
            <w:r w:rsidRPr="00541511">
              <w:rPr>
                <w:b/>
              </w:rPr>
              <w:t>1 кв. 2014 г.</w:t>
            </w:r>
          </w:p>
        </w:tc>
        <w:tc>
          <w:tcPr>
            <w:tcW w:w="842" w:type="dxa"/>
          </w:tcPr>
          <w:p w:rsidR="00161650" w:rsidRPr="00541511" w:rsidRDefault="00161650" w:rsidP="00DE06D1">
            <w:pPr>
              <w:pStyle w:val="a6"/>
              <w:tabs>
                <w:tab w:val="left" w:pos="426"/>
              </w:tabs>
              <w:ind w:left="-146" w:right="-110"/>
              <w:jc w:val="center"/>
              <w:rPr>
                <w:b/>
              </w:rPr>
            </w:pPr>
            <w:r w:rsidRPr="00541511">
              <w:rPr>
                <w:b/>
              </w:rPr>
              <w:t>2 кв. 2014 г.</w:t>
            </w:r>
          </w:p>
        </w:tc>
        <w:tc>
          <w:tcPr>
            <w:tcW w:w="841" w:type="dxa"/>
          </w:tcPr>
          <w:p w:rsidR="00161650" w:rsidRPr="00541511" w:rsidRDefault="00161650" w:rsidP="00DE06D1">
            <w:pPr>
              <w:pStyle w:val="a6"/>
              <w:tabs>
                <w:tab w:val="left" w:pos="426"/>
              </w:tabs>
              <w:ind w:left="-146" w:right="-110"/>
              <w:jc w:val="center"/>
              <w:rPr>
                <w:b/>
              </w:rPr>
            </w:pPr>
            <w:r w:rsidRPr="00541511">
              <w:rPr>
                <w:b/>
              </w:rPr>
              <w:t>3 кв. 2014 г.</w:t>
            </w:r>
          </w:p>
        </w:tc>
        <w:tc>
          <w:tcPr>
            <w:tcW w:w="842" w:type="dxa"/>
          </w:tcPr>
          <w:p w:rsidR="00161650" w:rsidRPr="00541511" w:rsidRDefault="00161650" w:rsidP="00DE06D1">
            <w:pPr>
              <w:pStyle w:val="a6"/>
              <w:tabs>
                <w:tab w:val="left" w:pos="426"/>
              </w:tabs>
              <w:ind w:left="-146" w:right="-110"/>
              <w:jc w:val="center"/>
              <w:rPr>
                <w:b/>
              </w:rPr>
            </w:pPr>
            <w:r w:rsidRPr="00541511">
              <w:rPr>
                <w:b/>
              </w:rPr>
              <w:t>4 кв. 2014 г.</w:t>
            </w:r>
          </w:p>
        </w:tc>
      </w:tr>
      <w:tr w:rsidR="004A66A1" w:rsidTr="00AF723F">
        <w:tc>
          <w:tcPr>
            <w:tcW w:w="8392" w:type="dxa"/>
            <w:gridSpan w:val="9"/>
          </w:tcPr>
          <w:p w:rsidR="004A66A1" w:rsidRPr="00541511" w:rsidRDefault="002E27FF" w:rsidP="00DE06D1">
            <w:pPr>
              <w:pStyle w:val="a6"/>
              <w:tabs>
                <w:tab w:val="left" w:pos="426"/>
              </w:tabs>
              <w:ind w:left="-146" w:right="-110"/>
              <w:jc w:val="center"/>
              <w:rPr>
                <w:i/>
              </w:rPr>
            </w:pPr>
            <w:r>
              <w:rPr>
                <w:i/>
              </w:rPr>
              <w:t>«</w:t>
            </w:r>
            <w:r w:rsidR="004A66A1" w:rsidRPr="00541511">
              <w:rPr>
                <w:i/>
              </w:rPr>
              <w:t>Фактические</w:t>
            </w:r>
            <w:r>
              <w:rPr>
                <w:i/>
              </w:rPr>
              <w:t>»</w:t>
            </w:r>
            <w:r w:rsidR="004A66A1" w:rsidRPr="00541511">
              <w:rPr>
                <w:i/>
              </w:rPr>
              <w:t xml:space="preserve"> значения</w:t>
            </w:r>
            <w:r>
              <w:rPr>
                <w:i/>
              </w:rPr>
              <w:t xml:space="preserve"> (с санкциями)</w:t>
            </w:r>
          </w:p>
        </w:tc>
      </w:tr>
      <w:tr w:rsidR="00DE06D1" w:rsidTr="00DE06D1">
        <w:tc>
          <w:tcPr>
            <w:tcW w:w="1660" w:type="dxa"/>
          </w:tcPr>
          <w:p w:rsidR="00DE06D1" w:rsidRDefault="00DE06D1" w:rsidP="00581EF1">
            <w:pPr>
              <w:pStyle w:val="a6"/>
              <w:tabs>
                <w:tab w:val="left" w:pos="426"/>
              </w:tabs>
              <w:ind w:left="0"/>
            </w:pPr>
            <w:r>
              <w:t>ВВП</w:t>
            </w:r>
          </w:p>
        </w:tc>
        <w:tc>
          <w:tcPr>
            <w:tcW w:w="841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14 641,8</w:t>
            </w:r>
          </w:p>
        </w:tc>
        <w:tc>
          <w:tcPr>
            <w:tcW w:w="842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15 982,7</w:t>
            </w:r>
          </w:p>
        </w:tc>
        <w:tc>
          <w:tcPr>
            <w:tcW w:w="841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17 538,4</w:t>
            </w:r>
          </w:p>
        </w:tc>
        <w:tc>
          <w:tcPr>
            <w:tcW w:w="842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18 592,3</w:t>
            </w:r>
          </w:p>
        </w:tc>
        <w:tc>
          <w:tcPr>
            <w:tcW w:w="841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15 992,0</w:t>
            </w:r>
          </w:p>
        </w:tc>
        <w:tc>
          <w:tcPr>
            <w:tcW w:w="842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17 697,2</w:t>
            </w:r>
          </w:p>
        </w:tc>
        <w:tc>
          <w:tcPr>
            <w:tcW w:w="841" w:type="dxa"/>
            <w:vAlign w:val="bottom"/>
          </w:tcPr>
          <w:p w:rsidR="00DE06D1" w:rsidRPr="00DE06D1" w:rsidRDefault="00DE06D1" w:rsidP="008D12B2">
            <w:pPr>
              <w:ind w:left="-199" w:right="-168"/>
              <w:jc w:val="center"/>
              <w:rPr>
                <w:rFonts w:cs="Arial CYR"/>
              </w:rPr>
            </w:pPr>
            <w:r w:rsidRPr="00DE06D1">
              <w:rPr>
                <w:rFonts w:cs="Arial CYR"/>
              </w:rPr>
              <w:t>18</w:t>
            </w:r>
            <w:r w:rsidR="008E6FDA">
              <w:rPr>
                <w:rFonts w:cs="Arial CYR"/>
              </w:rPr>
              <w:t xml:space="preserve"> </w:t>
            </w:r>
            <w:r w:rsidR="008D12B2">
              <w:rPr>
                <w:rFonts w:cs="Arial CYR"/>
              </w:rPr>
              <w:t>703</w:t>
            </w:r>
            <w:r w:rsidRPr="00DE06D1">
              <w:rPr>
                <w:rFonts w:cs="Arial CYR"/>
              </w:rPr>
              <w:t>,</w:t>
            </w:r>
            <w:r w:rsidR="008D12B2">
              <w:rPr>
                <w:rFonts w:cs="Arial CYR"/>
              </w:rPr>
              <w:t>4</w:t>
            </w:r>
          </w:p>
        </w:tc>
        <w:tc>
          <w:tcPr>
            <w:tcW w:w="842" w:type="dxa"/>
            <w:vAlign w:val="bottom"/>
          </w:tcPr>
          <w:p w:rsidR="00DE06D1" w:rsidRPr="00DE06D1" w:rsidRDefault="00DE06D1" w:rsidP="00DE06D1">
            <w:pPr>
              <w:ind w:left="-199" w:right="-168"/>
              <w:jc w:val="center"/>
              <w:rPr>
                <w:rFonts w:cs="Arial CYR"/>
              </w:rPr>
            </w:pPr>
            <w:r w:rsidRPr="00DE06D1">
              <w:rPr>
                <w:rFonts w:cs="Arial CYR"/>
              </w:rPr>
              <w:t>18</w:t>
            </w:r>
            <w:r w:rsidR="008E6FDA">
              <w:rPr>
                <w:rFonts w:cs="Arial CYR"/>
              </w:rPr>
              <w:t xml:space="preserve"> </w:t>
            </w:r>
            <w:r w:rsidRPr="00DE06D1">
              <w:rPr>
                <w:rFonts w:cs="Arial CYR"/>
              </w:rPr>
              <w:t>960,5</w:t>
            </w:r>
          </w:p>
        </w:tc>
      </w:tr>
      <w:tr w:rsidR="00DE06D1" w:rsidTr="00DE06D1">
        <w:tc>
          <w:tcPr>
            <w:tcW w:w="1660" w:type="dxa"/>
          </w:tcPr>
          <w:p w:rsidR="00DE06D1" w:rsidRDefault="00DE06D1" w:rsidP="00581EF1">
            <w:pPr>
              <w:pStyle w:val="a6"/>
              <w:tabs>
                <w:tab w:val="left" w:pos="426"/>
              </w:tabs>
              <w:ind w:left="0"/>
            </w:pPr>
            <w:r>
              <w:t>Внешняя корпоративная задолженность</w:t>
            </w:r>
          </w:p>
        </w:tc>
        <w:tc>
          <w:tcPr>
            <w:tcW w:w="841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14 641,8</w:t>
            </w:r>
          </w:p>
        </w:tc>
        <w:tc>
          <w:tcPr>
            <w:tcW w:w="842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15 982,7</w:t>
            </w:r>
          </w:p>
        </w:tc>
        <w:tc>
          <w:tcPr>
            <w:tcW w:w="841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17 538,4</w:t>
            </w:r>
          </w:p>
        </w:tc>
        <w:tc>
          <w:tcPr>
            <w:tcW w:w="842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18 592,3</w:t>
            </w:r>
          </w:p>
        </w:tc>
        <w:tc>
          <w:tcPr>
            <w:tcW w:w="841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15 992,0</w:t>
            </w:r>
          </w:p>
        </w:tc>
        <w:tc>
          <w:tcPr>
            <w:tcW w:w="842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17 697,2</w:t>
            </w:r>
          </w:p>
        </w:tc>
        <w:tc>
          <w:tcPr>
            <w:tcW w:w="841" w:type="dxa"/>
            <w:vAlign w:val="bottom"/>
          </w:tcPr>
          <w:p w:rsidR="00DE06D1" w:rsidRPr="00DE06D1" w:rsidRDefault="00DE06D1" w:rsidP="00DE06D1">
            <w:pPr>
              <w:ind w:left="-199" w:right="-168"/>
              <w:jc w:val="center"/>
              <w:rPr>
                <w:rFonts w:cs="Arial CYR"/>
              </w:rPr>
            </w:pPr>
            <w:r w:rsidRPr="00DE06D1">
              <w:rPr>
                <w:rFonts w:cs="Arial CYR"/>
              </w:rPr>
              <w:t>15</w:t>
            </w:r>
            <w:r w:rsidR="008E6FDA">
              <w:rPr>
                <w:rFonts w:cs="Arial CYR"/>
              </w:rPr>
              <w:t xml:space="preserve"> </w:t>
            </w:r>
            <w:r w:rsidRPr="00DE06D1">
              <w:rPr>
                <w:rFonts w:cs="Arial CYR"/>
              </w:rPr>
              <w:t>273,9</w:t>
            </w:r>
          </w:p>
        </w:tc>
        <w:tc>
          <w:tcPr>
            <w:tcW w:w="842" w:type="dxa"/>
            <w:vAlign w:val="bottom"/>
          </w:tcPr>
          <w:p w:rsidR="00DE06D1" w:rsidRPr="00DE06D1" w:rsidRDefault="00DE06D1" w:rsidP="00DE06D1">
            <w:pPr>
              <w:ind w:left="-199" w:right="-168"/>
              <w:jc w:val="center"/>
              <w:rPr>
                <w:rFonts w:cs="Arial CYR"/>
              </w:rPr>
            </w:pPr>
            <w:r w:rsidRPr="00DE06D1">
              <w:rPr>
                <w:rFonts w:cs="Arial CYR"/>
              </w:rPr>
              <w:t>Н.д.</w:t>
            </w:r>
          </w:p>
        </w:tc>
      </w:tr>
      <w:tr w:rsidR="004A66A1" w:rsidRPr="00541511" w:rsidTr="00EA2016">
        <w:tc>
          <w:tcPr>
            <w:tcW w:w="8392" w:type="dxa"/>
            <w:gridSpan w:val="9"/>
          </w:tcPr>
          <w:p w:rsidR="004A66A1" w:rsidRPr="00541511" w:rsidRDefault="002E27FF" w:rsidP="00DE06D1">
            <w:pPr>
              <w:pStyle w:val="a6"/>
              <w:tabs>
                <w:tab w:val="left" w:pos="426"/>
              </w:tabs>
              <w:ind w:left="-146" w:right="-110"/>
              <w:jc w:val="center"/>
              <w:rPr>
                <w:i/>
              </w:rPr>
            </w:pPr>
            <w:r>
              <w:rPr>
                <w:i/>
              </w:rPr>
              <w:t>«</w:t>
            </w:r>
            <w:r w:rsidR="004A66A1" w:rsidRPr="00541511">
              <w:rPr>
                <w:i/>
              </w:rPr>
              <w:t>Гипотетические</w:t>
            </w:r>
            <w:r>
              <w:rPr>
                <w:i/>
              </w:rPr>
              <w:t>» значения (без санкций</w:t>
            </w:r>
            <w:r w:rsidR="004A66A1" w:rsidRPr="00541511">
              <w:rPr>
                <w:i/>
              </w:rPr>
              <w:t>)</w:t>
            </w:r>
          </w:p>
        </w:tc>
      </w:tr>
      <w:tr w:rsidR="00DE06D1" w:rsidTr="00DE06D1">
        <w:tc>
          <w:tcPr>
            <w:tcW w:w="1660" w:type="dxa"/>
          </w:tcPr>
          <w:p w:rsidR="00DE06D1" w:rsidRDefault="00DE06D1" w:rsidP="004037D9">
            <w:pPr>
              <w:pStyle w:val="a6"/>
              <w:tabs>
                <w:tab w:val="left" w:pos="426"/>
              </w:tabs>
              <w:ind w:left="0"/>
            </w:pPr>
            <w:r>
              <w:t>ВВП</w:t>
            </w:r>
          </w:p>
        </w:tc>
        <w:tc>
          <w:tcPr>
            <w:tcW w:w="841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14 641,8</w:t>
            </w:r>
          </w:p>
        </w:tc>
        <w:tc>
          <w:tcPr>
            <w:tcW w:w="842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15 982,7</w:t>
            </w:r>
          </w:p>
        </w:tc>
        <w:tc>
          <w:tcPr>
            <w:tcW w:w="841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17 538,4</w:t>
            </w:r>
          </w:p>
        </w:tc>
        <w:tc>
          <w:tcPr>
            <w:tcW w:w="842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18 592,3</w:t>
            </w:r>
          </w:p>
        </w:tc>
        <w:tc>
          <w:tcPr>
            <w:tcW w:w="841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15 992,0</w:t>
            </w:r>
          </w:p>
        </w:tc>
        <w:tc>
          <w:tcPr>
            <w:tcW w:w="842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17 697,2</w:t>
            </w:r>
          </w:p>
        </w:tc>
        <w:tc>
          <w:tcPr>
            <w:tcW w:w="841" w:type="dxa"/>
            <w:vAlign w:val="bottom"/>
          </w:tcPr>
          <w:p w:rsidR="00DE06D1" w:rsidRPr="00DE06D1" w:rsidRDefault="00F91BC9" w:rsidP="00F91BC9">
            <w:pPr>
              <w:ind w:left="-199" w:right="-168"/>
              <w:jc w:val="center"/>
              <w:rPr>
                <w:rFonts w:cs="Arial CYR"/>
              </w:rPr>
            </w:pPr>
            <w:r>
              <w:rPr>
                <w:rFonts w:cs="Arial CYR"/>
              </w:rPr>
              <w:t>18</w:t>
            </w:r>
            <w:r w:rsidR="008E6FDA">
              <w:rPr>
                <w:rFonts w:cs="Arial CYR"/>
              </w:rPr>
              <w:t xml:space="preserve"> </w:t>
            </w:r>
            <w:r>
              <w:rPr>
                <w:rFonts w:cs="Arial CYR"/>
              </w:rPr>
              <w:t>703</w:t>
            </w:r>
            <w:r w:rsidR="00DE06D1" w:rsidRPr="00DE06D1">
              <w:rPr>
                <w:rFonts w:cs="Arial CYR"/>
              </w:rPr>
              <w:t>,</w:t>
            </w:r>
            <w:r>
              <w:rPr>
                <w:rFonts w:cs="Arial CYR"/>
              </w:rPr>
              <w:t>4</w:t>
            </w:r>
          </w:p>
        </w:tc>
        <w:tc>
          <w:tcPr>
            <w:tcW w:w="842" w:type="dxa"/>
            <w:vAlign w:val="bottom"/>
          </w:tcPr>
          <w:p w:rsidR="00DE06D1" w:rsidRPr="00DE06D1" w:rsidRDefault="00DE06D1" w:rsidP="00DE06D1">
            <w:pPr>
              <w:ind w:left="-199" w:right="-168"/>
              <w:jc w:val="center"/>
              <w:rPr>
                <w:rFonts w:cs="Arial CYR"/>
              </w:rPr>
            </w:pPr>
            <w:r w:rsidRPr="00DE06D1">
              <w:rPr>
                <w:rFonts w:cs="Arial CYR"/>
              </w:rPr>
              <w:t>19</w:t>
            </w:r>
            <w:r w:rsidR="008E6FDA">
              <w:rPr>
                <w:rFonts w:cs="Arial CYR"/>
              </w:rPr>
              <w:t xml:space="preserve"> </w:t>
            </w:r>
            <w:r w:rsidRPr="00DE06D1">
              <w:rPr>
                <w:rFonts w:cs="Arial CYR"/>
              </w:rPr>
              <w:t>080,9</w:t>
            </w:r>
          </w:p>
        </w:tc>
      </w:tr>
      <w:tr w:rsidR="00DE06D1" w:rsidTr="00DE06D1">
        <w:tc>
          <w:tcPr>
            <w:tcW w:w="1660" w:type="dxa"/>
          </w:tcPr>
          <w:p w:rsidR="00DE06D1" w:rsidRDefault="00DE06D1" w:rsidP="004037D9">
            <w:pPr>
              <w:pStyle w:val="a6"/>
              <w:tabs>
                <w:tab w:val="left" w:pos="426"/>
              </w:tabs>
              <w:ind w:left="0"/>
            </w:pPr>
            <w:r>
              <w:t>Внешняя корпоративная задолженность</w:t>
            </w:r>
          </w:p>
        </w:tc>
        <w:tc>
          <w:tcPr>
            <w:tcW w:w="841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14 641,8</w:t>
            </w:r>
          </w:p>
        </w:tc>
        <w:tc>
          <w:tcPr>
            <w:tcW w:w="842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15 982,7</w:t>
            </w:r>
          </w:p>
        </w:tc>
        <w:tc>
          <w:tcPr>
            <w:tcW w:w="841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17 538,4</w:t>
            </w:r>
          </w:p>
        </w:tc>
        <w:tc>
          <w:tcPr>
            <w:tcW w:w="842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18 592,3</w:t>
            </w:r>
          </w:p>
        </w:tc>
        <w:tc>
          <w:tcPr>
            <w:tcW w:w="841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15 992,0</w:t>
            </w:r>
          </w:p>
        </w:tc>
        <w:tc>
          <w:tcPr>
            <w:tcW w:w="842" w:type="dxa"/>
            <w:vAlign w:val="bottom"/>
          </w:tcPr>
          <w:p w:rsidR="00DE06D1" w:rsidRPr="00DE06D1" w:rsidRDefault="00DE06D1" w:rsidP="00DE06D1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17 697,2</w:t>
            </w:r>
          </w:p>
        </w:tc>
        <w:tc>
          <w:tcPr>
            <w:tcW w:w="841" w:type="dxa"/>
            <w:vAlign w:val="bottom"/>
          </w:tcPr>
          <w:p w:rsidR="00DE06D1" w:rsidRPr="00DE06D1" w:rsidRDefault="00DE06D1" w:rsidP="00DE06D1">
            <w:pPr>
              <w:ind w:left="-199" w:right="-168"/>
              <w:jc w:val="center"/>
              <w:rPr>
                <w:rFonts w:cs="Arial CYR"/>
              </w:rPr>
            </w:pPr>
            <w:r w:rsidRPr="00DE06D1">
              <w:rPr>
                <w:rFonts w:cs="Arial CYR"/>
              </w:rPr>
              <w:t>15</w:t>
            </w:r>
            <w:r w:rsidR="008E6FDA">
              <w:rPr>
                <w:rFonts w:cs="Arial CYR"/>
              </w:rPr>
              <w:t xml:space="preserve"> </w:t>
            </w:r>
            <w:r w:rsidRPr="00DE06D1">
              <w:rPr>
                <w:rFonts w:cs="Arial CYR"/>
              </w:rPr>
              <w:t>562,1</w:t>
            </w:r>
          </w:p>
        </w:tc>
        <w:tc>
          <w:tcPr>
            <w:tcW w:w="842" w:type="dxa"/>
            <w:vAlign w:val="bottom"/>
          </w:tcPr>
          <w:p w:rsidR="00DE06D1" w:rsidRPr="00DE06D1" w:rsidRDefault="00541511" w:rsidP="00DE06D1">
            <w:pPr>
              <w:ind w:left="-199" w:right="-168"/>
              <w:jc w:val="center"/>
              <w:rPr>
                <w:rFonts w:cs="Arial CYR"/>
              </w:rPr>
            </w:pPr>
            <w:r>
              <w:rPr>
                <w:rFonts w:cs="Arial CYR"/>
              </w:rPr>
              <w:t>16</w:t>
            </w:r>
            <w:r w:rsidR="008E6FDA">
              <w:rPr>
                <w:rFonts w:cs="Arial CYR"/>
              </w:rPr>
              <w:t xml:space="preserve"> </w:t>
            </w:r>
            <w:r>
              <w:rPr>
                <w:rFonts w:cs="Arial CYR"/>
              </w:rPr>
              <w:t>114,2</w:t>
            </w:r>
          </w:p>
        </w:tc>
      </w:tr>
    </w:tbl>
    <w:p w:rsidR="00044D33" w:rsidRDefault="00044D33" w:rsidP="00044D33">
      <w:pPr>
        <w:spacing w:before="240"/>
        <w:ind w:left="567"/>
        <w:rPr>
          <w:i/>
          <w:sz w:val="20"/>
          <w:szCs w:val="20"/>
        </w:rPr>
      </w:pPr>
      <w:r>
        <w:rPr>
          <w:i/>
          <w:sz w:val="20"/>
          <w:szCs w:val="20"/>
        </w:rPr>
        <w:t>Источники: Росстат, Банк России, ФБК</w:t>
      </w:r>
    </w:p>
    <w:p w:rsidR="00781CA7" w:rsidRDefault="00D5593F" w:rsidP="008A6B60">
      <w:pPr>
        <w:pStyle w:val="a6"/>
        <w:jc w:val="both"/>
      </w:pPr>
      <w:r>
        <w:t>Из таблицы видно</w:t>
      </w:r>
      <w:r w:rsidRPr="00D5593F">
        <w:t xml:space="preserve">, что </w:t>
      </w:r>
      <w:r>
        <w:t xml:space="preserve">«фактические» и «гипотетические» значения ВВП </w:t>
      </w:r>
      <w:r w:rsidR="007006A3">
        <w:t>совпадают</w:t>
      </w:r>
      <w:r w:rsidR="00F91BC9">
        <w:t>,</w:t>
      </w:r>
      <w:r w:rsidR="007006A3">
        <w:t xml:space="preserve"> в том числе</w:t>
      </w:r>
      <w:r w:rsidR="00F91BC9">
        <w:t>, и</w:t>
      </w:r>
      <w:r w:rsidR="007006A3">
        <w:t xml:space="preserve"> в 3 квартале 2014 г., когда уже были введены санкции. </w:t>
      </w:r>
      <w:r w:rsidR="00F91BC9">
        <w:t>То, что санкции не повлияли на рост ВВП в 3 квартале 2014 г., требует объяснения. На самом деле в этом нет противоречия. В</w:t>
      </w:r>
      <w:r w:rsidR="007006A3">
        <w:t xml:space="preserve">о-первых, ВВП – довольно инерционный показатель, </w:t>
      </w:r>
      <w:r w:rsidR="00F91BC9">
        <w:t>который не сразу реагирует на изменения экономической ситуации. Во-вторых, характер секторальных санкций таков, что они тоже оказывают действие не сразу, а по истечении некоторого времени (не все долги нужно возвращать немедленно). Наконец, в-третьих,</w:t>
      </w:r>
      <w:r w:rsidR="00244ED7">
        <w:t xml:space="preserve"> секторальные </w:t>
      </w:r>
      <w:r w:rsidR="00F91BC9">
        <w:t>санкции</w:t>
      </w:r>
      <w:r w:rsidR="00244ED7">
        <w:t xml:space="preserve"> реально</w:t>
      </w:r>
      <w:r w:rsidR="00F91BC9">
        <w:t xml:space="preserve"> были введены в конце августа 2014 г., когда больше половины квартала уже прошло. Таким образом, действие санкций ещё не успело отразиться на показателе ВВП 3 квартала 2014 г.</w:t>
      </w:r>
      <w:r w:rsidR="00244ED7">
        <w:t>, хотя проблемы с доступом на зарубежные рынки капитала начались для российских компаний раньше.</w:t>
      </w:r>
    </w:p>
    <w:p w:rsidR="00D5593F" w:rsidRPr="00781CA7" w:rsidRDefault="00D5593F" w:rsidP="008A6B60">
      <w:pPr>
        <w:pStyle w:val="a6"/>
        <w:jc w:val="both"/>
        <w:rPr>
          <w:b/>
        </w:rPr>
      </w:pPr>
    </w:p>
    <w:p w:rsidR="004A66A1" w:rsidRPr="004A229F" w:rsidRDefault="004A66A1" w:rsidP="008A6B60">
      <w:pPr>
        <w:pStyle w:val="a6"/>
        <w:numPr>
          <w:ilvl w:val="0"/>
          <w:numId w:val="2"/>
        </w:numPr>
        <w:jc w:val="both"/>
      </w:pPr>
      <w:r w:rsidRPr="004A229F">
        <w:t xml:space="preserve">Исходя из данных, приведённых в таблице, «фактическая» величина ВВП в 2014 г. </w:t>
      </w:r>
      <w:r w:rsidR="00F91BC9" w:rsidRPr="004A229F">
        <w:t xml:space="preserve">составила </w:t>
      </w:r>
      <w:r w:rsidR="00E9075B" w:rsidRPr="004A229F">
        <w:t xml:space="preserve">71 427,7 </w:t>
      </w:r>
      <w:proofErr w:type="spellStart"/>
      <w:proofErr w:type="gramStart"/>
      <w:r w:rsidR="00E9075B" w:rsidRPr="004A229F">
        <w:t>млрд</w:t>
      </w:r>
      <w:proofErr w:type="spellEnd"/>
      <w:proofErr w:type="gramEnd"/>
      <w:r w:rsidR="00E9075B" w:rsidRPr="004A229F">
        <w:t xml:space="preserve"> руб.</w:t>
      </w:r>
      <w:r w:rsidR="00F91BC9" w:rsidRPr="004A229F">
        <w:t xml:space="preserve">, «гипотетическая» - </w:t>
      </w:r>
      <w:r w:rsidR="00E9075B" w:rsidRPr="004A229F">
        <w:t xml:space="preserve">71 549,1 </w:t>
      </w:r>
      <w:proofErr w:type="spellStart"/>
      <w:r w:rsidR="00E9075B" w:rsidRPr="004A229F">
        <w:t>млрд</w:t>
      </w:r>
      <w:proofErr w:type="spellEnd"/>
      <w:r w:rsidR="00E9075B" w:rsidRPr="004A229F">
        <w:t xml:space="preserve"> руб</w:t>
      </w:r>
      <w:r w:rsidR="00F91BC9" w:rsidRPr="004A229F">
        <w:t xml:space="preserve">. </w:t>
      </w:r>
      <w:r w:rsidRPr="004A229F">
        <w:t xml:space="preserve">Таким образом, </w:t>
      </w:r>
      <w:r w:rsidRPr="004A229F">
        <w:rPr>
          <w:b/>
        </w:rPr>
        <w:t>ущерб от секторальных санкций в 2014 г. состави</w:t>
      </w:r>
      <w:r w:rsidR="00781CA7" w:rsidRPr="004A229F">
        <w:rPr>
          <w:b/>
        </w:rPr>
        <w:t>т</w:t>
      </w:r>
      <w:r w:rsidRPr="004A229F">
        <w:rPr>
          <w:b/>
        </w:rPr>
        <w:t xml:space="preserve"> 12</w:t>
      </w:r>
      <w:r w:rsidR="00E9075B" w:rsidRPr="004A229F">
        <w:rPr>
          <w:b/>
        </w:rPr>
        <w:t>1</w:t>
      </w:r>
      <w:r w:rsidRPr="004A229F">
        <w:rPr>
          <w:b/>
        </w:rPr>
        <w:t>,4 млрд. руб., или 0,2% ВВП</w:t>
      </w:r>
      <w:r w:rsidR="00E9075B" w:rsidRPr="004A229F">
        <w:rPr>
          <w:b/>
        </w:rPr>
        <w:t xml:space="preserve"> России</w:t>
      </w:r>
      <w:r w:rsidRPr="004A229F">
        <w:t>.</w:t>
      </w:r>
    </w:p>
    <w:p w:rsidR="004A66A1" w:rsidRPr="002744FA" w:rsidRDefault="004A66A1" w:rsidP="008A6B60">
      <w:pPr>
        <w:jc w:val="both"/>
        <w:rPr>
          <w:highlight w:val="lightGray"/>
        </w:rPr>
      </w:pPr>
      <w:r>
        <w:t>Поскольку санкции</w:t>
      </w:r>
      <w:r w:rsidR="004A229F">
        <w:t>, как становится всё более очевидным, могут занять продолжительный период времени, важно рассчитать величину ущерба хотя бы за первый год их действия</w:t>
      </w:r>
      <w:r>
        <w:t xml:space="preserve">. Это можно сделать, используя оценку внешней корпоративной задолженности, представленную </w:t>
      </w:r>
      <w:proofErr w:type="spellStart"/>
      <w:r>
        <w:rPr>
          <w:lang w:val="en-US"/>
        </w:rPr>
        <w:t>Sberbank</w:t>
      </w:r>
      <w:proofErr w:type="spellEnd"/>
      <w:r w:rsidRPr="004A66A1">
        <w:t xml:space="preserve"> </w:t>
      </w:r>
      <w:r>
        <w:rPr>
          <w:lang w:val="en-US"/>
        </w:rPr>
        <w:t>CIB</w:t>
      </w:r>
      <w:r>
        <w:t xml:space="preserve"> в октябре 2014 г. </w:t>
      </w:r>
      <w:r w:rsidR="00B525B2">
        <w:t xml:space="preserve"> Согласно данному источнику, </w:t>
      </w:r>
      <w:r w:rsidR="00C8016C">
        <w:t xml:space="preserve">до конца 2015 г. корпоративным заёмщикам – нефтегазовым компаниям, попавшим под санкции – предстоит погасить 62 млрд. долл. США. </w:t>
      </w:r>
      <w:r w:rsidR="00C8016C" w:rsidRPr="007B40C1">
        <w:t xml:space="preserve">Примем допущение, что погашение будет происходить равномерно в течение 4 квартала 2014 г. – 4 квартала 2015 г., а новых зарубежных заимствований не будет. </w:t>
      </w:r>
      <w:proofErr w:type="gramStart"/>
      <w:r w:rsidR="00C8016C" w:rsidRPr="007B40C1">
        <w:t xml:space="preserve">Тогда ежеквартально объём корпоративного внешнего долга будет сокращаться на (62 млрд. долл. / 5 кварталов) = 12,4 млрд. долл. США, а суммарно за </w:t>
      </w:r>
      <w:r w:rsidR="000E4CE3" w:rsidRPr="007B40C1">
        <w:t xml:space="preserve">период с 4 квартала 2014 г. по </w:t>
      </w:r>
      <w:r w:rsidR="007B40C1">
        <w:t>2</w:t>
      </w:r>
      <w:r w:rsidR="000E4CE3" w:rsidRPr="007B40C1">
        <w:t xml:space="preserve"> квартал 2015 г.</w:t>
      </w:r>
      <w:r w:rsidR="00C8016C" w:rsidRPr="007B40C1">
        <w:t xml:space="preserve"> задолженность сократится на </w:t>
      </w:r>
      <w:r w:rsidR="00B831A3">
        <w:t>(</w:t>
      </w:r>
      <w:r w:rsidR="00B831A3" w:rsidRPr="007B40C1">
        <w:t xml:space="preserve">12,4 млрд. долл. </w:t>
      </w:r>
      <w:r w:rsidR="00B831A3">
        <w:t xml:space="preserve">*3 квартала) = </w:t>
      </w:r>
      <w:r w:rsidR="00C8016C" w:rsidRPr="007B40C1">
        <w:t>37,2 млрд. долл. США.</w:t>
      </w:r>
      <w:proofErr w:type="gramEnd"/>
    </w:p>
    <w:p w:rsidR="00C8016C" w:rsidRDefault="00C8016C" w:rsidP="008A6B60">
      <w:pPr>
        <w:jc w:val="both"/>
      </w:pPr>
      <w:r w:rsidRPr="00781CA7">
        <w:t>Примем также допущение, что средний курс доллара в 4 кв. 2014 г. составит 4</w:t>
      </w:r>
      <w:r w:rsidR="00244ED7">
        <w:t>7,4</w:t>
      </w:r>
      <w:r w:rsidRPr="00781CA7">
        <w:t xml:space="preserve"> рублей за доллар США</w:t>
      </w:r>
      <w:r w:rsidR="00244ED7">
        <w:t xml:space="preserve"> (среднее значение за 1 октября – 29 декабря 2014 г.)</w:t>
      </w:r>
      <w:r w:rsidRPr="00781CA7">
        <w:t xml:space="preserve">, в 1 кв. 2015 г. – </w:t>
      </w:r>
      <w:r w:rsidR="00995226" w:rsidRPr="00781CA7">
        <w:t>6</w:t>
      </w:r>
      <w:r w:rsidRPr="00781CA7">
        <w:t xml:space="preserve">0 рублей за доллар США, во 2 кв. 2015 г. – </w:t>
      </w:r>
      <w:r w:rsidR="00995226" w:rsidRPr="00781CA7">
        <w:t>6</w:t>
      </w:r>
      <w:r w:rsidRPr="00781CA7">
        <w:t xml:space="preserve">5 рублей за доллар США. </w:t>
      </w:r>
      <w:proofErr w:type="gramStart"/>
      <w:r w:rsidRPr="00781CA7">
        <w:t>Тогда</w:t>
      </w:r>
      <w:r>
        <w:t xml:space="preserve">, имея ряд среднегодовых значений </w:t>
      </w:r>
      <w:r w:rsidR="00541511">
        <w:t xml:space="preserve">роста </w:t>
      </w:r>
      <w:r>
        <w:t xml:space="preserve">квартальной внешней корпоративной задолженности на 4 кв. 2014 г. – 2 </w:t>
      </w:r>
      <w:r w:rsidR="00541511">
        <w:t xml:space="preserve">кв. 2015 г., можно получить </w:t>
      </w:r>
      <w:r>
        <w:t>«гипотети</w:t>
      </w:r>
      <w:r w:rsidR="00541511">
        <w:t>ческие» значения задолженности, что, в свою очередь, позволит получить и «фактические» значения.</w:t>
      </w:r>
      <w:proofErr w:type="gramEnd"/>
      <w:r w:rsidR="00541511">
        <w:t xml:space="preserve"> Расчёты отражены в</w:t>
      </w:r>
      <w:proofErr w:type="gramStart"/>
      <w:r w:rsidR="00541511">
        <w:t xml:space="preserve"> Т</w:t>
      </w:r>
      <w:proofErr w:type="gramEnd"/>
      <w:r w:rsidR="00541511">
        <w:t>абл. 2.</w:t>
      </w:r>
    </w:p>
    <w:p w:rsidR="00541511" w:rsidRPr="00DE06D1" w:rsidRDefault="00541511" w:rsidP="008A6B60">
      <w:pPr>
        <w:pStyle w:val="a6"/>
        <w:tabs>
          <w:tab w:val="left" w:pos="426"/>
        </w:tabs>
        <w:jc w:val="both"/>
        <w:rPr>
          <w:b/>
        </w:rPr>
      </w:pPr>
      <w:r w:rsidRPr="00DE06D1">
        <w:rPr>
          <w:b/>
        </w:rPr>
        <w:lastRenderedPageBreak/>
        <w:t xml:space="preserve">Таблица </w:t>
      </w:r>
      <w:r>
        <w:rPr>
          <w:b/>
        </w:rPr>
        <w:t>2</w:t>
      </w:r>
      <w:r w:rsidRPr="00DE06D1">
        <w:rPr>
          <w:b/>
        </w:rPr>
        <w:t>. Фактические и гипотетические значения переменных модели</w:t>
      </w:r>
      <w:r>
        <w:rPr>
          <w:b/>
        </w:rPr>
        <w:t xml:space="preserve"> в 2014-2015 гг.</w:t>
      </w:r>
      <w:r w:rsidRPr="00DE06D1">
        <w:rPr>
          <w:b/>
        </w:rPr>
        <w:t>, млрд. руб.</w:t>
      </w:r>
    </w:p>
    <w:tbl>
      <w:tblPr>
        <w:tblStyle w:val="a9"/>
        <w:tblW w:w="0" w:type="auto"/>
        <w:tblInd w:w="720" w:type="dxa"/>
        <w:tblLayout w:type="fixed"/>
        <w:tblLook w:val="04A0"/>
      </w:tblPr>
      <w:tblGrid>
        <w:gridCol w:w="1940"/>
        <w:gridCol w:w="841"/>
        <w:gridCol w:w="842"/>
        <w:gridCol w:w="841"/>
        <w:gridCol w:w="842"/>
        <w:gridCol w:w="841"/>
        <w:gridCol w:w="892"/>
      </w:tblGrid>
      <w:tr w:rsidR="002744FA" w:rsidTr="00B831A3">
        <w:trPr>
          <w:tblHeader/>
        </w:trPr>
        <w:tc>
          <w:tcPr>
            <w:tcW w:w="1940" w:type="dxa"/>
          </w:tcPr>
          <w:p w:rsidR="002744FA" w:rsidRPr="00541511" w:rsidRDefault="002744FA" w:rsidP="004037D9">
            <w:pPr>
              <w:pStyle w:val="a6"/>
              <w:tabs>
                <w:tab w:val="left" w:pos="426"/>
              </w:tabs>
              <w:ind w:left="0"/>
              <w:rPr>
                <w:b/>
              </w:rPr>
            </w:pPr>
            <w:proofErr w:type="spellStart"/>
            <w:r w:rsidRPr="00541511">
              <w:rPr>
                <w:b/>
              </w:rPr>
              <w:t>Показатель\</w:t>
            </w:r>
            <w:proofErr w:type="spellEnd"/>
            <w:r w:rsidRPr="00541511">
              <w:rPr>
                <w:b/>
              </w:rPr>
              <w:t xml:space="preserve"> период</w:t>
            </w:r>
          </w:p>
        </w:tc>
        <w:tc>
          <w:tcPr>
            <w:tcW w:w="841" w:type="dxa"/>
          </w:tcPr>
          <w:p w:rsidR="002744FA" w:rsidRPr="00541511" w:rsidRDefault="002744FA" w:rsidP="00541511">
            <w:pPr>
              <w:pStyle w:val="a6"/>
              <w:tabs>
                <w:tab w:val="left" w:pos="426"/>
              </w:tabs>
              <w:ind w:left="-146" w:right="-110"/>
              <w:jc w:val="center"/>
              <w:rPr>
                <w:b/>
              </w:rPr>
            </w:pPr>
            <w:r w:rsidRPr="00541511">
              <w:rPr>
                <w:b/>
              </w:rPr>
              <w:t>1 кв. 201</w:t>
            </w:r>
            <w:r>
              <w:rPr>
                <w:b/>
              </w:rPr>
              <w:t>4</w:t>
            </w:r>
            <w:r w:rsidRPr="00541511">
              <w:rPr>
                <w:b/>
              </w:rPr>
              <w:t xml:space="preserve"> г.</w:t>
            </w:r>
          </w:p>
        </w:tc>
        <w:tc>
          <w:tcPr>
            <w:tcW w:w="842" w:type="dxa"/>
          </w:tcPr>
          <w:p w:rsidR="002744FA" w:rsidRPr="00541511" w:rsidRDefault="002744FA" w:rsidP="00541511">
            <w:pPr>
              <w:pStyle w:val="a6"/>
              <w:tabs>
                <w:tab w:val="left" w:pos="426"/>
              </w:tabs>
              <w:ind w:left="-146" w:right="-110"/>
              <w:jc w:val="center"/>
              <w:rPr>
                <w:b/>
              </w:rPr>
            </w:pPr>
            <w:r w:rsidRPr="00541511">
              <w:rPr>
                <w:b/>
              </w:rPr>
              <w:t>2 кв. 201</w:t>
            </w:r>
            <w:r>
              <w:rPr>
                <w:b/>
              </w:rPr>
              <w:t>4</w:t>
            </w:r>
            <w:r w:rsidRPr="00541511">
              <w:rPr>
                <w:b/>
              </w:rPr>
              <w:t xml:space="preserve"> г.</w:t>
            </w:r>
          </w:p>
        </w:tc>
        <w:tc>
          <w:tcPr>
            <w:tcW w:w="841" w:type="dxa"/>
          </w:tcPr>
          <w:p w:rsidR="002744FA" w:rsidRPr="00541511" w:rsidRDefault="002744FA" w:rsidP="00541511">
            <w:pPr>
              <w:pStyle w:val="a6"/>
              <w:tabs>
                <w:tab w:val="left" w:pos="426"/>
              </w:tabs>
              <w:ind w:left="-146" w:right="-110"/>
              <w:jc w:val="center"/>
              <w:rPr>
                <w:b/>
              </w:rPr>
            </w:pPr>
            <w:r w:rsidRPr="00541511">
              <w:rPr>
                <w:b/>
              </w:rPr>
              <w:t>3 кв. 201</w:t>
            </w:r>
            <w:r>
              <w:rPr>
                <w:b/>
              </w:rPr>
              <w:t>4</w:t>
            </w:r>
            <w:r w:rsidRPr="00541511">
              <w:rPr>
                <w:b/>
              </w:rPr>
              <w:t xml:space="preserve"> г.</w:t>
            </w:r>
          </w:p>
        </w:tc>
        <w:tc>
          <w:tcPr>
            <w:tcW w:w="842" w:type="dxa"/>
          </w:tcPr>
          <w:p w:rsidR="002744FA" w:rsidRPr="00541511" w:rsidRDefault="002744FA" w:rsidP="00541511">
            <w:pPr>
              <w:pStyle w:val="a6"/>
              <w:tabs>
                <w:tab w:val="left" w:pos="426"/>
              </w:tabs>
              <w:ind w:left="-146" w:right="-110"/>
              <w:jc w:val="center"/>
              <w:rPr>
                <w:b/>
              </w:rPr>
            </w:pPr>
            <w:r w:rsidRPr="00541511">
              <w:rPr>
                <w:b/>
              </w:rPr>
              <w:t>4 кв. 201</w:t>
            </w:r>
            <w:r>
              <w:rPr>
                <w:b/>
              </w:rPr>
              <w:t>4</w:t>
            </w:r>
            <w:r w:rsidRPr="00541511">
              <w:rPr>
                <w:b/>
              </w:rPr>
              <w:t xml:space="preserve"> г.</w:t>
            </w:r>
          </w:p>
        </w:tc>
        <w:tc>
          <w:tcPr>
            <w:tcW w:w="841" w:type="dxa"/>
          </w:tcPr>
          <w:p w:rsidR="002744FA" w:rsidRPr="00541511" w:rsidRDefault="002744FA" w:rsidP="00541511">
            <w:pPr>
              <w:pStyle w:val="a6"/>
              <w:tabs>
                <w:tab w:val="left" w:pos="426"/>
              </w:tabs>
              <w:ind w:left="-146" w:right="-110"/>
              <w:jc w:val="center"/>
              <w:rPr>
                <w:b/>
              </w:rPr>
            </w:pPr>
            <w:r w:rsidRPr="00541511">
              <w:rPr>
                <w:b/>
              </w:rPr>
              <w:t>1 кв. 201</w:t>
            </w:r>
            <w:r>
              <w:rPr>
                <w:b/>
              </w:rPr>
              <w:t>5</w:t>
            </w:r>
            <w:r w:rsidRPr="00541511">
              <w:rPr>
                <w:b/>
              </w:rPr>
              <w:t xml:space="preserve"> г.</w:t>
            </w:r>
          </w:p>
        </w:tc>
        <w:tc>
          <w:tcPr>
            <w:tcW w:w="892" w:type="dxa"/>
          </w:tcPr>
          <w:p w:rsidR="002744FA" w:rsidRPr="00541511" w:rsidRDefault="002744FA" w:rsidP="00541511">
            <w:pPr>
              <w:pStyle w:val="a6"/>
              <w:tabs>
                <w:tab w:val="left" w:pos="426"/>
              </w:tabs>
              <w:ind w:left="-146" w:right="-110"/>
              <w:jc w:val="center"/>
              <w:rPr>
                <w:b/>
              </w:rPr>
            </w:pPr>
            <w:r w:rsidRPr="00541511">
              <w:rPr>
                <w:b/>
              </w:rPr>
              <w:t>2 кв. 201</w:t>
            </w:r>
            <w:r>
              <w:rPr>
                <w:b/>
              </w:rPr>
              <w:t>5</w:t>
            </w:r>
            <w:r w:rsidRPr="00541511">
              <w:rPr>
                <w:b/>
              </w:rPr>
              <w:t xml:space="preserve"> г.</w:t>
            </w:r>
          </w:p>
        </w:tc>
      </w:tr>
      <w:tr w:rsidR="002744FA" w:rsidTr="00B831A3">
        <w:tc>
          <w:tcPr>
            <w:tcW w:w="7039" w:type="dxa"/>
            <w:gridSpan w:val="7"/>
          </w:tcPr>
          <w:p w:rsidR="002744FA" w:rsidRPr="00541511" w:rsidRDefault="00781CA7" w:rsidP="004037D9">
            <w:pPr>
              <w:pStyle w:val="a6"/>
              <w:tabs>
                <w:tab w:val="left" w:pos="426"/>
              </w:tabs>
              <w:ind w:left="-146" w:right="-110"/>
              <w:jc w:val="center"/>
              <w:rPr>
                <w:i/>
              </w:rPr>
            </w:pPr>
            <w:r>
              <w:rPr>
                <w:i/>
              </w:rPr>
              <w:t>«</w:t>
            </w:r>
            <w:r w:rsidR="002744FA" w:rsidRPr="00541511">
              <w:rPr>
                <w:i/>
              </w:rPr>
              <w:t>Фактические</w:t>
            </w:r>
            <w:r>
              <w:rPr>
                <w:i/>
              </w:rPr>
              <w:t>»</w:t>
            </w:r>
            <w:r w:rsidR="002744FA" w:rsidRPr="00541511">
              <w:rPr>
                <w:i/>
              </w:rPr>
              <w:t xml:space="preserve"> значения</w:t>
            </w:r>
            <w:r>
              <w:rPr>
                <w:i/>
              </w:rPr>
              <w:t xml:space="preserve"> (с санкциями)</w:t>
            </w:r>
          </w:p>
        </w:tc>
      </w:tr>
      <w:tr w:rsidR="00244ED7" w:rsidTr="00F62B4A">
        <w:tc>
          <w:tcPr>
            <w:tcW w:w="1940" w:type="dxa"/>
          </w:tcPr>
          <w:p w:rsidR="00244ED7" w:rsidRDefault="00244ED7" w:rsidP="004037D9">
            <w:pPr>
              <w:pStyle w:val="a6"/>
              <w:tabs>
                <w:tab w:val="left" w:pos="426"/>
              </w:tabs>
              <w:ind w:left="0"/>
            </w:pPr>
            <w:r>
              <w:t>ВВП</w:t>
            </w:r>
          </w:p>
        </w:tc>
        <w:tc>
          <w:tcPr>
            <w:tcW w:w="841" w:type="dxa"/>
            <w:vAlign w:val="bottom"/>
          </w:tcPr>
          <w:p w:rsidR="00244ED7" w:rsidRPr="00DE06D1" w:rsidRDefault="00244ED7" w:rsidP="004037D9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15 992,0</w:t>
            </w:r>
          </w:p>
        </w:tc>
        <w:tc>
          <w:tcPr>
            <w:tcW w:w="842" w:type="dxa"/>
            <w:vAlign w:val="bottom"/>
          </w:tcPr>
          <w:p w:rsidR="00244ED7" w:rsidRPr="00DE06D1" w:rsidRDefault="00244ED7" w:rsidP="004037D9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17 697,2</w:t>
            </w:r>
          </w:p>
        </w:tc>
        <w:tc>
          <w:tcPr>
            <w:tcW w:w="841" w:type="dxa"/>
            <w:vAlign w:val="bottom"/>
          </w:tcPr>
          <w:p w:rsidR="00244ED7" w:rsidRPr="00DE06D1" w:rsidRDefault="00244ED7" w:rsidP="00E9075B">
            <w:pPr>
              <w:ind w:left="-199" w:right="-168"/>
              <w:jc w:val="center"/>
              <w:rPr>
                <w:rFonts w:cs="Arial CYR"/>
              </w:rPr>
            </w:pPr>
            <w:r w:rsidRPr="00DE06D1">
              <w:rPr>
                <w:rFonts w:cs="Arial CYR"/>
              </w:rPr>
              <w:t>18</w:t>
            </w:r>
            <w:r>
              <w:rPr>
                <w:rFonts w:cs="Arial CYR"/>
              </w:rPr>
              <w:t>703</w:t>
            </w:r>
            <w:r w:rsidRPr="00DE06D1">
              <w:rPr>
                <w:rFonts w:cs="Arial CYR"/>
              </w:rPr>
              <w:t>,</w:t>
            </w:r>
            <w:r>
              <w:rPr>
                <w:rFonts w:cs="Arial CYR"/>
              </w:rPr>
              <w:t>4</w:t>
            </w:r>
          </w:p>
        </w:tc>
        <w:tc>
          <w:tcPr>
            <w:tcW w:w="842" w:type="dxa"/>
            <w:vAlign w:val="bottom"/>
          </w:tcPr>
          <w:p w:rsidR="00244ED7" w:rsidRPr="008E6FDA" w:rsidRDefault="00244ED7" w:rsidP="00E9075B">
            <w:pPr>
              <w:ind w:left="-84" w:right="-140"/>
              <w:jc w:val="center"/>
              <w:rPr>
                <w:rFonts w:cs="Arial CYR"/>
              </w:rPr>
            </w:pPr>
            <w:r w:rsidRPr="008E6FDA">
              <w:rPr>
                <w:rFonts w:cs="Arial CYR"/>
              </w:rPr>
              <w:t>19</w:t>
            </w:r>
            <w:r>
              <w:rPr>
                <w:rFonts w:cs="Arial CYR"/>
              </w:rPr>
              <w:t xml:space="preserve"> </w:t>
            </w:r>
            <w:r w:rsidRPr="008E6FDA">
              <w:rPr>
                <w:rFonts w:cs="Arial CYR"/>
              </w:rPr>
              <w:t>035,1</w:t>
            </w:r>
          </w:p>
        </w:tc>
        <w:tc>
          <w:tcPr>
            <w:tcW w:w="841" w:type="dxa"/>
          </w:tcPr>
          <w:p w:rsidR="00244ED7" w:rsidRPr="00244ED7" w:rsidRDefault="00244ED7" w:rsidP="00244ED7">
            <w:pPr>
              <w:ind w:left="-84" w:right="-140"/>
              <w:jc w:val="center"/>
              <w:rPr>
                <w:rFonts w:cs="Arial CYR"/>
              </w:rPr>
            </w:pPr>
            <w:r w:rsidRPr="00244ED7">
              <w:rPr>
                <w:rFonts w:cs="Arial CYR"/>
              </w:rPr>
              <w:t>19341,8</w:t>
            </w:r>
          </w:p>
        </w:tc>
        <w:tc>
          <w:tcPr>
            <w:tcW w:w="892" w:type="dxa"/>
          </w:tcPr>
          <w:p w:rsidR="00244ED7" w:rsidRPr="00244ED7" w:rsidRDefault="00244ED7" w:rsidP="00244ED7">
            <w:pPr>
              <w:ind w:left="-84" w:right="-140"/>
              <w:jc w:val="center"/>
              <w:rPr>
                <w:rFonts w:cs="Arial CYR"/>
              </w:rPr>
            </w:pPr>
            <w:r w:rsidRPr="00244ED7">
              <w:rPr>
                <w:rFonts w:cs="Arial CYR"/>
              </w:rPr>
              <w:t>19722,4</w:t>
            </w:r>
          </w:p>
        </w:tc>
      </w:tr>
      <w:tr w:rsidR="00244ED7" w:rsidTr="00B831A3">
        <w:tc>
          <w:tcPr>
            <w:tcW w:w="1940" w:type="dxa"/>
          </w:tcPr>
          <w:p w:rsidR="00244ED7" w:rsidRDefault="00244ED7" w:rsidP="004037D9">
            <w:pPr>
              <w:pStyle w:val="a6"/>
              <w:tabs>
                <w:tab w:val="left" w:pos="426"/>
              </w:tabs>
              <w:ind w:left="0"/>
            </w:pPr>
            <w:r>
              <w:t>Внешняя корпоративная задолженность</w:t>
            </w:r>
          </w:p>
        </w:tc>
        <w:tc>
          <w:tcPr>
            <w:tcW w:w="841" w:type="dxa"/>
            <w:vAlign w:val="bottom"/>
          </w:tcPr>
          <w:p w:rsidR="00244ED7" w:rsidRPr="00DE06D1" w:rsidRDefault="00244ED7" w:rsidP="004037D9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15 992,0</w:t>
            </w:r>
          </w:p>
        </w:tc>
        <w:tc>
          <w:tcPr>
            <w:tcW w:w="842" w:type="dxa"/>
            <w:vAlign w:val="bottom"/>
          </w:tcPr>
          <w:p w:rsidR="00244ED7" w:rsidRPr="00DE06D1" w:rsidRDefault="00244ED7" w:rsidP="004037D9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17 697,2</w:t>
            </w:r>
          </w:p>
        </w:tc>
        <w:tc>
          <w:tcPr>
            <w:tcW w:w="841" w:type="dxa"/>
            <w:vAlign w:val="bottom"/>
          </w:tcPr>
          <w:p w:rsidR="00244ED7" w:rsidRPr="00DE06D1" w:rsidRDefault="00244ED7" w:rsidP="004037D9">
            <w:pPr>
              <w:ind w:left="-199" w:right="-168"/>
              <w:jc w:val="center"/>
              <w:rPr>
                <w:rFonts w:cs="Arial CYR"/>
              </w:rPr>
            </w:pPr>
            <w:r w:rsidRPr="00DE06D1">
              <w:rPr>
                <w:rFonts w:cs="Arial CYR"/>
              </w:rPr>
              <w:t>15273,9</w:t>
            </w:r>
          </w:p>
        </w:tc>
        <w:tc>
          <w:tcPr>
            <w:tcW w:w="842" w:type="dxa"/>
            <w:vAlign w:val="bottom"/>
          </w:tcPr>
          <w:p w:rsidR="00244ED7" w:rsidRPr="00244ED7" w:rsidRDefault="00244ED7" w:rsidP="00244ED7">
            <w:pPr>
              <w:ind w:left="-199" w:right="-168"/>
              <w:jc w:val="center"/>
              <w:rPr>
                <w:rFonts w:cs="Arial CYR"/>
              </w:rPr>
            </w:pPr>
            <w:r w:rsidRPr="00244ED7">
              <w:rPr>
                <w:rFonts w:cs="Arial CYR"/>
              </w:rPr>
              <w:t>15526,5</w:t>
            </w:r>
          </w:p>
        </w:tc>
        <w:tc>
          <w:tcPr>
            <w:tcW w:w="841" w:type="dxa"/>
            <w:vAlign w:val="bottom"/>
          </w:tcPr>
          <w:p w:rsidR="00244ED7" w:rsidRPr="008E6FDA" w:rsidRDefault="00244ED7" w:rsidP="00781CA7">
            <w:pPr>
              <w:ind w:left="-84" w:right="-140"/>
              <w:jc w:val="center"/>
              <w:rPr>
                <w:rFonts w:cs="Arial CYR"/>
              </w:rPr>
            </w:pPr>
            <w:r w:rsidRPr="008E6FDA">
              <w:rPr>
                <w:rFonts w:cs="Arial CYR"/>
              </w:rPr>
              <w:t>15</w:t>
            </w:r>
            <w:r>
              <w:rPr>
                <w:rFonts w:cs="Arial CYR"/>
              </w:rPr>
              <w:t xml:space="preserve"> </w:t>
            </w:r>
            <w:r w:rsidRPr="008E6FDA">
              <w:rPr>
                <w:rFonts w:cs="Arial CYR"/>
              </w:rPr>
              <w:t>990,0</w:t>
            </w:r>
          </w:p>
        </w:tc>
        <w:tc>
          <w:tcPr>
            <w:tcW w:w="892" w:type="dxa"/>
            <w:vAlign w:val="bottom"/>
          </w:tcPr>
          <w:p w:rsidR="00244ED7" w:rsidRPr="008E6FDA" w:rsidRDefault="00244ED7" w:rsidP="00781CA7">
            <w:pPr>
              <w:ind w:left="-84" w:right="-140"/>
              <w:jc w:val="center"/>
              <w:rPr>
                <w:rFonts w:cs="Arial CYR"/>
              </w:rPr>
            </w:pPr>
            <w:r w:rsidRPr="008E6FDA">
              <w:rPr>
                <w:rFonts w:cs="Arial CYR"/>
              </w:rPr>
              <w:t>16</w:t>
            </w:r>
            <w:r>
              <w:rPr>
                <w:rFonts w:cs="Arial CYR"/>
              </w:rPr>
              <w:t xml:space="preserve"> </w:t>
            </w:r>
            <w:r w:rsidRPr="008E6FDA">
              <w:rPr>
                <w:rFonts w:cs="Arial CYR"/>
              </w:rPr>
              <w:t>626,6</w:t>
            </w:r>
          </w:p>
        </w:tc>
      </w:tr>
      <w:tr w:rsidR="00244ED7" w:rsidTr="00B831A3">
        <w:tc>
          <w:tcPr>
            <w:tcW w:w="1940" w:type="dxa"/>
          </w:tcPr>
          <w:p w:rsidR="00244ED7" w:rsidRPr="00B831A3" w:rsidRDefault="00244ED7" w:rsidP="004037D9">
            <w:pPr>
              <w:pStyle w:val="a6"/>
              <w:tabs>
                <w:tab w:val="left" w:pos="426"/>
              </w:tabs>
              <w:ind w:left="0"/>
              <w:rPr>
                <w:i/>
              </w:rPr>
            </w:pPr>
            <w:proofErr w:type="spellStart"/>
            <w:r w:rsidRPr="00B831A3">
              <w:rPr>
                <w:i/>
              </w:rPr>
              <w:t>Справочно</w:t>
            </w:r>
            <w:proofErr w:type="spellEnd"/>
            <w:r w:rsidRPr="00B831A3">
              <w:rPr>
                <w:i/>
              </w:rPr>
              <w:t>:</w:t>
            </w:r>
          </w:p>
          <w:p w:rsidR="00244ED7" w:rsidRDefault="00244ED7" w:rsidP="004037D9">
            <w:pPr>
              <w:pStyle w:val="a6"/>
              <w:tabs>
                <w:tab w:val="left" w:pos="426"/>
              </w:tabs>
              <w:ind w:left="0"/>
            </w:pPr>
            <w:r w:rsidRPr="00B831A3">
              <w:rPr>
                <w:i/>
              </w:rPr>
              <w:t>Погашение задолженности</w:t>
            </w:r>
          </w:p>
        </w:tc>
        <w:tc>
          <w:tcPr>
            <w:tcW w:w="841" w:type="dxa"/>
            <w:vAlign w:val="bottom"/>
          </w:tcPr>
          <w:p w:rsidR="00244ED7" w:rsidRPr="00B831A3" w:rsidRDefault="00244ED7" w:rsidP="004037D9">
            <w:pPr>
              <w:ind w:left="-146" w:right="-110"/>
              <w:jc w:val="center"/>
              <w:rPr>
                <w:rFonts w:cs="Arial"/>
                <w:i/>
              </w:rPr>
            </w:pPr>
          </w:p>
        </w:tc>
        <w:tc>
          <w:tcPr>
            <w:tcW w:w="842" w:type="dxa"/>
            <w:vAlign w:val="bottom"/>
          </w:tcPr>
          <w:p w:rsidR="00244ED7" w:rsidRPr="00B831A3" w:rsidRDefault="00244ED7" w:rsidP="004037D9">
            <w:pPr>
              <w:ind w:left="-146" w:right="-110"/>
              <w:jc w:val="center"/>
              <w:rPr>
                <w:rFonts w:cs="Arial"/>
                <w:i/>
              </w:rPr>
            </w:pPr>
          </w:p>
        </w:tc>
        <w:tc>
          <w:tcPr>
            <w:tcW w:w="841" w:type="dxa"/>
            <w:vAlign w:val="bottom"/>
          </w:tcPr>
          <w:p w:rsidR="00244ED7" w:rsidRPr="00B831A3" w:rsidRDefault="00244ED7" w:rsidP="004037D9">
            <w:pPr>
              <w:ind w:left="-199" w:right="-168"/>
              <w:jc w:val="center"/>
              <w:rPr>
                <w:rFonts w:cs="Arial CYR"/>
                <w:i/>
              </w:rPr>
            </w:pPr>
          </w:p>
        </w:tc>
        <w:tc>
          <w:tcPr>
            <w:tcW w:w="842" w:type="dxa"/>
            <w:vAlign w:val="bottom"/>
          </w:tcPr>
          <w:p w:rsidR="00244ED7" w:rsidRPr="00244ED7" w:rsidRDefault="00244ED7" w:rsidP="00244ED7">
            <w:pPr>
              <w:jc w:val="right"/>
              <w:rPr>
                <w:rFonts w:cs="Arial CYR"/>
                <w:i/>
              </w:rPr>
            </w:pPr>
            <w:r w:rsidRPr="00244ED7">
              <w:rPr>
                <w:rFonts w:cs="Arial CYR"/>
                <w:i/>
              </w:rPr>
              <w:t>587,8</w:t>
            </w:r>
          </w:p>
        </w:tc>
        <w:tc>
          <w:tcPr>
            <w:tcW w:w="841" w:type="dxa"/>
            <w:vAlign w:val="bottom"/>
          </w:tcPr>
          <w:p w:rsidR="00244ED7" w:rsidRPr="008E6FDA" w:rsidRDefault="00244ED7">
            <w:pPr>
              <w:jc w:val="right"/>
              <w:rPr>
                <w:rFonts w:cs="Arial CYR"/>
                <w:i/>
              </w:rPr>
            </w:pPr>
            <w:r w:rsidRPr="008E6FDA">
              <w:rPr>
                <w:rFonts w:cs="Arial CYR"/>
                <w:i/>
              </w:rPr>
              <w:t>744,0</w:t>
            </w:r>
          </w:p>
        </w:tc>
        <w:tc>
          <w:tcPr>
            <w:tcW w:w="892" w:type="dxa"/>
            <w:vAlign w:val="bottom"/>
          </w:tcPr>
          <w:p w:rsidR="00244ED7" w:rsidRPr="008E6FDA" w:rsidRDefault="00244ED7">
            <w:pPr>
              <w:jc w:val="right"/>
              <w:rPr>
                <w:rFonts w:cs="Arial CYR"/>
                <w:i/>
              </w:rPr>
            </w:pPr>
            <w:r w:rsidRPr="008E6FDA">
              <w:rPr>
                <w:rFonts w:cs="Arial CYR"/>
                <w:i/>
              </w:rPr>
              <w:t>806,0</w:t>
            </w:r>
          </w:p>
        </w:tc>
      </w:tr>
      <w:tr w:rsidR="002744FA" w:rsidRPr="00541511" w:rsidTr="00B831A3">
        <w:tc>
          <w:tcPr>
            <w:tcW w:w="7039" w:type="dxa"/>
            <w:gridSpan w:val="7"/>
          </w:tcPr>
          <w:p w:rsidR="002744FA" w:rsidRPr="00541511" w:rsidRDefault="00781CA7" w:rsidP="004037D9">
            <w:pPr>
              <w:pStyle w:val="a6"/>
              <w:tabs>
                <w:tab w:val="left" w:pos="426"/>
              </w:tabs>
              <w:ind w:left="-146" w:right="-110"/>
              <w:jc w:val="center"/>
              <w:rPr>
                <w:i/>
              </w:rPr>
            </w:pPr>
            <w:r>
              <w:rPr>
                <w:i/>
              </w:rPr>
              <w:t>«</w:t>
            </w:r>
            <w:r w:rsidR="002744FA" w:rsidRPr="00541511">
              <w:rPr>
                <w:i/>
              </w:rPr>
              <w:t>Гипотетические</w:t>
            </w:r>
            <w:r>
              <w:rPr>
                <w:i/>
              </w:rPr>
              <w:t>» значения (без санкций</w:t>
            </w:r>
            <w:r w:rsidR="002744FA" w:rsidRPr="00541511">
              <w:rPr>
                <w:i/>
              </w:rPr>
              <w:t>)</w:t>
            </w:r>
          </w:p>
        </w:tc>
      </w:tr>
      <w:tr w:rsidR="00AF7411" w:rsidTr="00B831A3">
        <w:tc>
          <w:tcPr>
            <w:tcW w:w="1940" w:type="dxa"/>
          </w:tcPr>
          <w:p w:rsidR="00AF7411" w:rsidRDefault="00AF7411" w:rsidP="004037D9">
            <w:pPr>
              <w:pStyle w:val="a6"/>
              <w:tabs>
                <w:tab w:val="left" w:pos="426"/>
              </w:tabs>
              <w:ind w:left="0"/>
            </w:pPr>
            <w:r>
              <w:t>ВВП</w:t>
            </w:r>
          </w:p>
        </w:tc>
        <w:tc>
          <w:tcPr>
            <w:tcW w:w="841" w:type="dxa"/>
            <w:vAlign w:val="bottom"/>
          </w:tcPr>
          <w:p w:rsidR="00AF7411" w:rsidRPr="00DE06D1" w:rsidRDefault="00AF7411" w:rsidP="004037D9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15 992,0</w:t>
            </w:r>
          </w:p>
        </w:tc>
        <w:tc>
          <w:tcPr>
            <w:tcW w:w="842" w:type="dxa"/>
            <w:vAlign w:val="bottom"/>
          </w:tcPr>
          <w:p w:rsidR="00AF7411" w:rsidRPr="00DE06D1" w:rsidRDefault="00AF7411" w:rsidP="004037D9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17 697,2</w:t>
            </w:r>
          </w:p>
        </w:tc>
        <w:tc>
          <w:tcPr>
            <w:tcW w:w="841" w:type="dxa"/>
            <w:vAlign w:val="bottom"/>
          </w:tcPr>
          <w:p w:rsidR="00AF7411" w:rsidRPr="008E6FDA" w:rsidRDefault="00AF7411" w:rsidP="00044D33">
            <w:pPr>
              <w:ind w:left="-199" w:right="-168"/>
              <w:jc w:val="center"/>
              <w:rPr>
                <w:rFonts w:cs="Arial"/>
              </w:rPr>
            </w:pPr>
            <w:r w:rsidRPr="008E6FDA">
              <w:rPr>
                <w:rFonts w:cs="Arial"/>
              </w:rPr>
              <w:t>18</w:t>
            </w:r>
            <w:r w:rsidR="008E6FDA">
              <w:rPr>
                <w:rFonts w:cs="Arial"/>
              </w:rPr>
              <w:t xml:space="preserve"> </w:t>
            </w:r>
            <w:r w:rsidR="00044D33" w:rsidRPr="008E6FDA">
              <w:rPr>
                <w:rFonts w:cs="Arial"/>
              </w:rPr>
              <w:t>703</w:t>
            </w:r>
            <w:r w:rsidRPr="008E6FDA">
              <w:rPr>
                <w:rFonts w:cs="Arial"/>
              </w:rPr>
              <w:t>,</w:t>
            </w:r>
            <w:r w:rsidR="00044D33" w:rsidRPr="008E6FDA">
              <w:rPr>
                <w:rFonts w:cs="Arial"/>
              </w:rPr>
              <w:t>4</w:t>
            </w:r>
          </w:p>
        </w:tc>
        <w:tc>
          <w:tcPr>
            <w:tcW w:w="842" w:type="dxa"/>
            <w:vAlign w:val="bottom"/>
          </w:tcPr>
          <w:p w:rsidR="00AF7411" w:rsidRPr="008E6FDA" w:rsidRDefault="00AF7411" w:rsidP="00044D33">
            <w:pPr>
              <w:ind w:left="-84" w:right="-140"/>
              <w:jc w:val="center"/>
              <w:rPr>
                <w:rFonts w:cs="Arial"/>
              </w:rPr>
            </w:pPr>
            <w:r w:rsidRPr="008E6FDA">
              <w:rPr>
                <w:rFonts w:cs="Arial"/>
              </w:rPr>
              <w:t>19</w:t>
            </w:r>
            <w:r w:rsidR="008E6FDA">
              <w:rPr>
                <w:rFonts w:cs="Arial"/>
              </w:rPr>
              <w:t xml:space="preserve"> </w:t>
            </w:r>
            <w:r w:rsidR="00044D33" w:rsidRPr="008E6FDA">
              <w:rPr>
                <w:rFonts w:cs="Arial"/>
              </w:rPr>
              <w:t>156</w:t>
            </w:r>
            <w:r w:rsidRPr="008E6FDA">
              <w:rPr>
                <w:rFonts w:cs="Arial"/>
              </w:rPr>
              <w:t>,</w:t>
            </w:r>
            <w:r w:rsidR="00044D33" w:rsidRPr="008E6FDA">
              <w:rPr>
                <w:rFonts w:cs="Arial"/>
              </w:rPr>
              <w:t>4</w:t>
            </w:r>
          </w:p>
        </w:tc>
        <w:tc>
          <w:tcPr>
            <w:tcW w:w="841" w:type="dxa"/>
            <w:vAlign w:val="bottom"/>
          </w:tcPr>
          <w:p w:rsidR="00AF7411" w:rsidRPr="008E6FDA" w:rsidRDefault="00AF7411" w:rsidP="00044D33">
            <w:pPr>
              <w:ind w:left="-84" w:right="-140"/>
              <w:jc w:val="center"/>
              <w:rPr>
                <w:rFonts w:cs="Arial"/>
              </w:rPr>
            </w:pPr>
            <w:r w:rsidRPr="008E6FDA">
              <w:rPr>
                <w:rFonts w:cs="Arial"/>
              </w:rPr>
              <w:t>19</w:t>
            </w:r>
            <w:r w:rsidR="008E6FDA">
              <w:rPr>
                <w:rFonts w:cs="Arial"/>
              </w:rPr>
              <w:t xml:space="preserve"> </w:t>
            </w:r>
            <w:r w:rsidRPr="008E6FDA">
              <w:rPr>
                <w:rFonts w:cs="Arial"/>
              </w:rPr>
              <w:t>6</w:t>
            </w:r>
            <w:r w:rsidR="00044D33" w:rsidRPr="008E6FDA">
              <w:rPr>
                <w:rFonts w:cs="Arial"/>
              </w:rPr>
              <w:t>62</w:t>
            </w:r>
            <w:r w:rsidRPr="008E6FDA">
              <w:rPr>
                <w:rFonts w:cs="Arial"/>
              </w:rPr>
              <w:t>,</w:t>
            </w:r>
            <w:r w:rsidR="00044D33" w:rsidRPr="008E6FDA">
              <w:rPr>
                <w:rFonts w:cs="Arial"/>
              </w:rPr>
              <w:t>7</w:t>
            </w:r>
          </w:p>
        </w:tc>
        <w:tc>
          <w:tcPr>
            <w:tcW w:w="892" w:type="dxa"/>
            <w:vAlign w:val="bottom"/>
          </w:tcPr>
          <w:p w:rsidR="00AF7411" w:rsidRPr="008E6FDA" w:rsidRDefault="00AF7411" w:rsidP="00044D33">
            <w:pPr>
              <w:ind w:left="-84" w:right="-140"/>
              <w:jc w:val="center"/>
              <w:rPr>
                <w:rFonts w:cs="Arial"/>
              </w:rPr>
            </w:pPr>
            <w:r w:rsidRPr="008E6FDA">
              <w:rPr>
                <w:rFonts w:cs="Arial"/>
              </w:rPr>
              <w:t>20</w:t>
            </w:r>
            <w:r w:rsidR="008E6FDA">
              <w:rPr>
                <w:rFonts w:cs="Arial"/>
              </w:rPr>
              <w:t xml:space="preserve"> </w:t>
            </w:r>
            <w:r w:rsidR="00044D33" w:rsidRPr="008E6FDA">
              <w:rPr>
                <w:rFonts w:cs="Arial"/>
              </w:rPr>
              <w:t>229</w:t>
            </w:r>
            <w:r w:rsidRPr="008E6FDA">
              <w:rPr>
                <w:rFonts w:cs="Arial"/>
              </w:rPr>
              <w:t>,</w:t>
            </w:r>
            <w:r w:rsidR="00044D33" w:rsidRPr="008E6FDA">
              <w:rPr>
                <w:rFonts w:cs="Arial"/>
              </w:rPr>
              <w:t>6</w:t>
            </w:r>
          </w:p>
        </w:tc>
      </w:tr>
      <w:tr w:rsidR="00AF7411" w:rsidTr="00B831A3">
        <w:tc>
          <w:tcPr>
            <w:tcW w:w="1940" w:type="dxa"/>
          </w:tcPr>
          <w:p w:rsidR="00AF7411" w:rsidRDefault="00AF7411" w:rsidP="004037D9">
            <w:pPr>
              <w:pStyle w:val="a6"/>
              <w:tabs>
                <w:tab w:val="left" w:pos="426"/>
              </w:tabs>
              <w:ind w:left="0"/>
            </w:pPr>
            <w:r>
              <w:t>Внешняя корпоративная задолженность</w:t>
            </w:r>
          </w:p>
        </w:tc>
        <w:tc>
          <w:tcPr>
            <w:tcW w:w="841" w:type="dxa"/>
            <w:vAlign w:val="bottom"/>
          </w:tcPr>
          <w:p w:rsidR="00AF7411" w:rsidRPr="00DE06D1" w:rsidRDefault="00AF7411" w:rsidP="004037D9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15 992,0</w:t>
            </w:r>
          </w:p>
        </w:tc>
        <w:tc>
          <w:tcPr>
            <w:tcW w:w="842" w:type="dxa"/>
            <w:vAlign w:val="bottom"/>
          </w:tcPr>
          <w:p w:rsidR="00AF7411" w:rsidRPr="00DE06D1" w:rsidRDefault="00AF7411" w:rsidP="004037D9">
            <w:pPr>
              <w:ind w:left="-146" w:right="-110"/>
              <w:jc w:val="center"/>
              <w:rPr>
                <w:rFonts w:cs="Arial"/>
              </w:rPr>
            </w:pPr>
            <w:r w:rsidRPr="00DE06D1">
              <w:rPr>
                <w:rFonts w:cs="Arial"/>
              </w:rPr>
              <w:t>17 697,2</w:t>
            </w:r>
          </w:p>
        </w:tc>
        <w:tc>
          <w:tcPr>
            <w:tcW w:w="841" w:type="dxa"/>
            <w:vAlign w:val="bottom"/>
          </w:tcPr>
          <w:p w:rsidR="00AF7411" w:rsidRPr="008E6FDA" w:rsidRDefault="00AF7411" w:rsidP="004037D9">
            <w:pPr>
              <w:ind w:left="-199" w:right="-168"/>
              <w:jc w:val="center"/>
              <w:rPr>
                <w:rFonts w:cs="Arial"/>
              </w:rPr>
            </w:pPr>
            <w:r w:rsidRPr="008E6FDA">
              <w:rPr>
                <w:rFonts w:cs="Arial"/>
              </w:rPr>
              <w:t>15</w:t>
            </w:r>
            <w:r w:rsidR="008E6FDA">
              <w:rPr>
                <w:rFonts w:cs="Arial"/>
              </w:rPr>
              <w:t xml:space="preserve"> </w:t>
            </w:r>
            <w:r w:rsidRPr="008E6FDA">
              <w:rPr>
                <w:rFonts w:cs="Arial"/>
              </w:rPr>
              <w:t>562,1</w:t>
            </w:r>
          </w:p>
        </w:tc>
        <w:tc>
          <w:tcPr>
            <w:tcW w:w="842" w:type="dxa"/>
            <w:vAlign w:val="bottom"/>
          </w:tcPr>
          <w:p w:rsidR="00AF7411" w:rsidRPr="008E6FDA" w:rsidRDefault="00AF7411" w:rsidP="004037D9">
            <w:pPr>
              <w:ind w:left="-199" w:right="-168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  <w:r w:rsidR="008E6FD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114,2</w:t>
            </w:r>
          </w:p>
        </w:tc>
        <w:tc>
          <w:tcPr>
            <w:tcW w:w="841" w:type="dxa"/>
            <w:vAlign w:val="bottom"/>
          </w:tcPr>
          <w:p w:rsidR="00AF7411" w:rsidRPr="008E6FDA" w:rsidRDefault="00AF7411" w:rsidP="00AF7411">
            <w:pPr>
              <w:ind w:left="-76" w:right="-150"/>
              <w:jc w:val="center"/>
              <w:rPr>
                <w:rFonts w:cs="Arial"/>
              </w:rPr>
            </w:pPr>
            <w:r w:rsidRPr="008E6FDA">
              <w:rPr>
                <w:rFonts w:cs="Arial"/>
              </w:rPr>
              <w:t>16</w:t>
            </w:r>
            <w:r w:rsidR="008E6FDA">
              <w:rPr>
                <w:rFonts w:cs="Arial"/>
              </w:rPr>
              <w:t xml:space="preserve"> </w:t>
            </w:r>
            <w:r w:rsidRPr="008E6FDA">
              <w:rPr>
                <w:rFonts w:cs="Arial"/>
              </w:rPr>
              <w:t>734,0</w:t>
            </w:r>
          </w:p>
        </w:tc>
        <w:tc>
          <w:tcPr>
            <w:tcW w:w="892" w:type="dxa"/>
            <w:vAlign w:val="bottom"/>
          </w:tcPr>
          <w:p w:rsidR="00AF7411" w:rsidRPr="008E6FDA" w:rsidRDefault="00AF7411" w:rsidP="00AF7411">
            <w:pPr>
              <w:ind w:left="-76" w:right="-150"/>
              <w:jc w:val="center"/>
              <w:rPr>
                <w:rFonts w:cs="Arial"/>
              </w:rPr>
            </w:pPr>
            <w:r w:rsidRPr="008E6FDA">
              <w:rPr>
                <w:rFonts w:cs="Arial"/>
              </w:rPr>
              <w:t>17</w:t>
            </w:r>
            <w:r w:rsidR="008E6FDA">
              <w:rPr>
                <w:rFonts w:cs="Arial"/>
              </w:rPr>
              <w:t xml:space="preserve"> </w:t>
            </w:r>
            <w:r w:rsidRPr="008E6FDA">
              <w:rPr>
                <w:rFonts w:cs="Arial"/>
              </w:rPr>
              <w:t>432,6</w:t>
            </w:r>
          </w:p>
        </w:tc>
      </w:tr>
    </w:tbl>
    <w:p w:rsidR="00044D33" w:rsidRDefault="00044D33" w:rsidP="00044D33">
      <w:pPr>
        <w:spacing w:before="240"/>
        <w:ind w:left="567"/>
        <w:rPr>
          <w:i/>
          <w:sz w:val="20"/>
          <w:szCs w:val="20"/>
        </w:rPr>
      </w:pPr>
      <w:r>
        <w:rPr>
          <w:i/>
          <w:sz w:val="20"/>
          <w:szCs w:val="20"/>
        </w:rPr>
        <w:t>Источники: Росстат, Банк России, ФБК</w:t>
      </w:r>
    </w:p>
    <w:p w:rsidR="00541511" w:rsidRPr="00B831A3" w:rsidRDefault="00B831A3" w:rsidP="008A6B60">
      <w:pPr>
        <w:ind w:left="567"/>
        <w:jc w:val="both"/>
        <w:rPr>
          <w:i/>
          <w:sz w:val="20"/>
          <w:szCs w:val="20"/>
        </w:rPr>
      </w:pPr>
      <w:r w:rsidRPr="00B831A3">
        <w:rPr>
          <w:i/>
          <w:sz w:val="20"/>
          <w:szCs w:val="20"/>
        </w:rPr>
        <w:t>Примечани</w:t>
      </w:r>
      <w:r w:rsidR="00044D33">
        <w:rPr>
          <w:i/>
          <w:sz w:val="20"/>
          <w:szCs w:val="20"/>
        </w:rPr>
        <w:t>я.</w:t>
      </w:r>
      <w:r w:rsidRPr="00B831A3">
        <w:rPr>
          <w:i/>
          <w:sz w:val="20"/>
          <w:szCs w:val="20"/>
        </w:rPr>
        <w:t xml:space="preserve"> </w:t>
      </w:r>
      <w:r w:rsidRPr="00044D33">
        <w:rPr>
          <w:sz w:val="20"/>
          <w:szCs w:val="20"/>
        </w:rPr>
        <w:t>«</w:t>
      </w:r>
      <w:r w:rsidR="00044D33" w:rsidRPr="00044D33">
        <w:rPr>
          <w:sz w:val="20"/>
          <w:szCs w:val="20"/>
        </w:rPr>
        <w:t>Г</w:t>
      </w:r>
      <w:r w:rsidRPr="00044D33">
        <w:rPr>
          <w:sz w:val="20"/>
          <w:szCs w:val="20"/>
        </w:rPr>
        <w:t>ипотетическая» внешняя корпоративная задолженность в 4 кв. 2014 г. – 2 кв. 2015 г. получена путём экстраполяции (умножения квартальных значений внешней корпоративной задолженности в 4 кв. 2013 г. – 2 кв. 2014 г. на средние темпы роста в соответствующие периоды за 2010-2013 гг.).  «Фактическая» внешняя корпоративная задолженность в тот же период получена из «гипотетической» путём вычитания из неё величин погашения задолженности в соответствующих периодах.</w:t>
      </w:r>
    </w:p>
    <w:p w:rsidR="007F2587" w:rsidRDefault="00044D33" w:rsidP="008A6B60">
      <w:pPr>
        <w:jc w:val="both"/>
      </w:pPr>
      <w:r w:rsidRPr="007F2587">
        <w:rPr>
          <w:b/>
        </w:rPr>
        <w:t xml:space="preserve">Ущерб за </w:t>
      </w:r>
      <w:r w:rsidR="004A229F">
        <w:rPr>
          <w:b/>
        </w:rPr>
        <w:t>первый год</w:t>
      </w:r>
      <w:r w:rsidR="004A229F" w:rsidRPr="007F2587">
        <w:rPr>
          <w:b/>
        </w:rPr>
        <w:t xml:space="preserve"> </w:t>
      </w:r>
      <w:r w:rsidRPr="007F2587">
        <w:rPr>
          <w:b/>
        </w:rPr>
        <w:t>введения санкций</w:t>
      </w:r>
      <w:r>
        <w:t xml:space="preserve"> равен разнице</w:t>
      </w:r>
      <w:r w:rsidR="00E2008E">
        <w:t xml:space="preserve"> между </w:t>
      </w:r>
      <w:r>
        <w:t xml:space="preserve">суммой </w:t>
      </w:r>
      <w:r w:rsidR="00E2008E">
        <w:t>гипотетически</w:t>
      </w:r>
      <w:r>
        <w:t>х</w:t>
      </w:r>
      <w:r w:rsidR="00E2008E">
        <w:t xml:space="preserve"> и фактически</w:t>
      </w:r>
      <w:r>
        <w:t>х значений</w:t>
      </w:r>
      <w:r w:rsidR="00E2008E">
        <w:t xml:space="preserve"> ВВП в </w:t>
      </w:r>
      <w:r>
        <w:t>4 квартале 2014 г. – 2 кв. 2015 г.</w:t>
      </w:r>
      <w:r w:rsidR="004A229F">
        <w:t xml:space="preserve"> (в 3 кв. 2014 г. экономика ещё практически не почувствовала негативного влияния санкций).</w:t>
      </w:r>
      <w:r>
        <w:t xml:space="preserve"> Эта разница</w:t>
      </w:r>
      <w:r w:rsidR="00E2008E">
        <w:t xml:space="preserve"> составляет </w:t>
      </w:r>
      <w:r>
        <w:t>(</w:t>
      </w:r>
      <w:r>
        <w:rPr>
          <w:rFonts w:ascii="Arial CYR" w:hAnsi="Arial CYR" w:cs="Arial CYR"/>
          <w:sz w:val="20"/>
          <w:szCs w:val="20"/>
        </w:rPr>
        <w:t>19156,4+19662,7+20229,6-19035,1-</w:t>
      </w:r>
      <w:r w:rsidR="007F2587">
        <w:rPr>
          <w:rFonts w:ascii="Arial CYR" w:hAnsi="Arial CYR" w:cs="Arial CYR"/>
          <w:sz w:val="20"/>
          <w:szCs w:val="20"/>
        </w:rPr>
        <w:t xml:space="preserve">19338,7-19720,5) = </w:t>
      </w:r>
      <w:r w:rsidR="007F2587" w:rsidRPr="007F2587">
        <w:rPr>
          <w:b/>
        </w:rPr>
        <w:t>9</w:t>
      </w:r>
      <w:r w:rsidR="00B00F48">
        <w:rPr>
          <w:b/>
        </w:rPr>
        <w:t>49</w:t>
      </w:r>
      <w:r w:rsidR="00E2008E" w:rsidRPr="007F2587">
        <w:rPr>
          <w:b/>
        </w:rPr>
        <w:t>,</w:t>
      </w:r>
      <w:r w:rsidR="00B00F48">
        <w:rPr>
          <w:b/>
        </w:rPr>
        <w:t>4</w:t>
      </w:r>
      <w:r w:rsidR="00E2008E" w:rsidRPr="007F2587">
        <w:rPr>
          <w:b/>
        </w:rPr>
        <w:t xml:space="preserve"> млрд. руб.</w:t>
      </w:r>
      <w:r w:rsidR="007F2587">
        <w:t xml:space="preserve"> Отметим, что со временем величина ущерба возрастает. </w:t>
      </w:r>
      <w:proofErr w:type="gramStart"/>
      <w:r w:rsidR="007F2587">
        <w:t>За 1 полугодие 2015 г. он составит, по расчётам, 8</w:t>
      </w:r>
      <w:r w:rsidR="00B00F48">
        <w:t>28</w:t>
      </w:r>
      <w:r w:rsidR="007F2587">
        <w:t>,1 млрд. руб., в то время как за 3-4 квартал 2014 г. ущерб состави</w:t>
      </w:r>
      <w:r w:rsidR="00244ED7">
        <w:t>л</w:t>
      </w:r>
      <w:r w:rsidR="007F2587">
        <w:t xml:space="preserve"> всего 121,4 млрд. руб. Это объясняется нарастающим действием санкций: чем больше проходит времени от их введения, тем большая доля внешнего корпоративного долга должна быть погашена, соответственно, тем большее влияние оказывает недостаток заёмных средств.</w:t>
      </w:r>
      <w:proofErr w:type="gramEnd"/>
      <w:r w:rsidR="007F2587">
        <w:t xml:space="preserve"> Кроме того, значительное влияние на результат здесь оказывает курс доллара. А его рост, во многом, тоже обусловлен санкциями, поскольку </w:t>
      </w:r>
      <w:r w:rsidR="008E6FDA">
        <w:t xml:space="preserve">утрата </w:t>
      </w:r>
      <w:r w:rsidR="007F2587">
        <w:t>доступ</w:t>
      </w:r>
      <w:r w:rsidR="008E6FDA">
        <w:t>а</w:t>
      </w:r>
      <w:r w:rsidR="007F2587">
        <w:t xml:space="preserve"> к западным рынкам капитала </w:t>
      </w:r>
      <w:r w:rsidR="008E6FDA">
        <w:t xml:space="preserve"> существенно ускорила девальвацию рубля.</w:t>
      </w:r>
    </w:p>
    <w:p w:rsidR="004A229F" w:rsidRDefault="004A229F" w:rsidP="008A6B60">
      <w:pPr>
        <w:jc w:val="both"/>
      </w:pPr>
      <w:r>
        <w:t>Наконец, цена санкций для экономики естественным образом возрастает по мере погружения её в рецессию. Для ослабленной экономики даже небольшой негатив превращается в серьёзную проблему.</w:t>
      </w:r>
    </w:p>
    <w:p w:rsidR="00B00F48" w:rsidRDefault="004A229F" w:rsidP="00B00F48">
      <w:pPr>
        <w:jc w:val="both"/>
        <w:rPr>
          <w:rFonts w:cs="Arial CYR"/>
        </w:rPr>
      </w:pPr>
      <w:r>
        <w:t>Р</w:t>
      </w:r>
      <w:r w:rsidR="008E6FDA">
        <w:t>ассчитаем долю ущерба в ВВП</w:t>
      </w:r>
      <w:r w:rsidR="008E6FDA" w:rsidRPr="004A229F">
        <w:t>. З</w:t>
      </w:r>
      <w:r w:rsidR="007F2587" w:rsidRPr="004A229F">
        <w:t xml:space="preserve">а </w:t>
      </w:r>
      <w:r w:rsidR="008E6FDA" w:rsidRPr="004A229F">
        <w:t>период</w:t>
      </w:r>
      <w:r w:rsidR="007F2587" w:rsidRPr="004A229F">
        <w:t xml:space="preserve"> </w:t>
      </w:r>
      <w:r w:rsidRPr="004A229F">
        <w:t xml:space="preserve">после </w:t>
      </w:r>
      <w:r w:rsidR="007F2587" w:rsidRPr="004A229F">
        <w:t>введения санкций</w:t>
      </w:r>
      <w:r>
        <w:t xml:space="preserve"> (3 кв. 2014 года – 2 кв. 2015 года)</w:t>
      </w:r>
      <w:r w:rsidR="007F2587">
        <w:t xml:space="preserve"> </w:t>
      </w:r>
      <w:r w:rsidR="008E6FDA">
        <w:t xml:space="preserve">ВВП </w:t>
      </w:r>
      <w:r w:rsidR="007F2587">
        <w:t>состав</w:t>
      </w:r>
      <w:r w:rsidR="008E6FDA">
        <w:t>и</w:t>
      </w:r>
      <w:r>
        <w:t>т</w:t>
      </w:r>
      <w:r w:rsidR="008E6FDA">
        <w:t xml:space="preserve"> </w:t>
      </w:r>
      <w:r w:rsidR="008E6FDA" w:rsidRPr="00DE06D1">
        <w:rPr>
          <w:rFonts w:cs="Arial CYR"/>
        </w:rPr>
        <w:t>18</w:t>
      </w:r>
      <w:r w:rsidR="008E6FDA">
        <w:rPr>
          <w:rFonts w:cs="Arial CYR"/>
        </w:rPr>
        <w:t>703</w:t>
      </w:r>
      <w:r w:rsidR="008E6FDA" w:rsidRPr="00DE06D1">
        <w:rPr>
          <w:rFonts w:cs="Arial CYR"/>
        </w:rPr>
        <w:t>,</w:t>
      </w:r>
      <w:r w:rsidR="008E6FDA">
        <w:rPr>
          <w:rFonts w:cs="Arial CYR"/>
        </w:rPr>
        <w:t xml:space="preserve">4 + </w:t>
      </w:r>
      <w:r w:rsidR="008E6FDA" w:rsidRPr="008E6FDA">
        <w:rPr>
          <w:rFonts w:cs="Arial CYR"/>
        </w:rPr>
        <w:t>19035,1+193</w:t>
      </w:r>
      <w:r w:rsidR="00B00F48">
        <w:rPr>
          <w:rFonts w:cs="Arial CYR"/>
        </w:rPr>
        <w:t>41,8</w:t>
      </w:r>
      <w:r w:rsidR="008E6FDA" w:rsidRPr="008E6FDA">
        <w:rPr>
          <w:rFonts w:cs="Arial CYR"/>
        </w:rPr>
        <w:t>+1972</w:t>
      </w:r>
      <w:r w:rsidR="00B00F48">
        <w:rPr>
          <w:rFonts w:cs="Arial CYR"/>
        </w:rPr>
        <w:t>2</w:t>
      </w:r>
      <w:r w:rsidR="008E6FDA" w:rsidRPr="008E6FDA">
        <w:rPr>
          <w:rFonts w:cs="Arial CYR"/>
        </w:rPr>
        <w:t>,</w:t>
      </w:r>
      <w:r w:rsidR="00B00F48">
        <w:rPr>
          <w:rFonts w:cs="Arial CYR"/>
        </w:rPr>
        <w:t>4</w:t>
      </w:r>
      <w:r w:rsidR="008E6FDA" w:rsidRPr="008E6FDA">
        <w:rPr>
          <w:rFonts w:cs="Arial CYR"/>
        </w:rPr>
        <w:t xml:space="preserve"> = 76</w:t>
      </w:r>
      <w:r w:rsidR="00B00F48">
        <w:rPr>
          <w:rFonts w:cs="Arial CYR"/>
        </w:rPr>
        <w:t>802</w:t>
      </w:r>
      <w:r w:rsidR="008E6FDA" w:rsidRPr="008E6FDA">
        <w:rPr>
          <w:rFonts w:cs="Arial CYR"/>
        </w:rPr>
        <w:t xml:space="preserve">,7 млрд. руб. </w:t>
      </w:r>
      <w:r w:rsidR="00B00F48">
        <w:rPr>
          <w:rFonts w:cs="Arial CYR"/>
        </w:rPr>
        <w:t>Ущерб=949,4/</w:t>
      </w:r>
      <w:r w:rsidR="00B00F48" w:rsidRPr="008E6FDA">
        <w:rPr>
          <w:rFonts w:cs="Arial CYR"/>
        </w:rPr>
        <w:t>76</w:t>
      </w:r>
      <w:r w:rsidR="00B00F48">
        <w:rPr>
          <w:rFonts w:cs="Arial CYR"/>
        </w:rPr>
        <w:t>802</w:t>
      </w:r>
      <w:r w:rsidR="00B00F48" w:rsidRPr="008E6FDA">
        <w:rPr>
          <w:rFonts w:cs="Arial CYR"/>
        </w:rPr>
        <w:t>,7</w:t>
      </w:r>
      <w:r w:rsidR="00B00F48">
        <w:rPr>
          <w:rFonts w:cs="Arial CYR"/>
        </w:rPr>
        <w:t xml:space="preserve">х100%=1,2%. </w:t>
      </w:r>
      <w:r w:rsidR="008E6FDA" w:rsidRPr="008E6FDA">
        <w:rPr>
          <w:rFonts w:cs="Arial CYR"/>
        </w:rPr>
        <w:t xml:space="preserve">Таким образом, </w:t>
      </w:r>
      <w:r w:rsidR="008E6FDA" w:rsidRPr="008E6FDA">
        <w:rPr>
          <w:rFonts w:cs="Arial CYR"/>
          <w:b/>
        </w:rPr>
        <w:t>ущерб состави</w:t>
      </w:r>
      <w:r>
        <w:rPr>
          <w:rFonts w:cs="Arial CYR"/>
          <w:b/>
        </w:rPr>
        <w:t>т</w:t>
      </w:r>
      <w:r w:rsidR="008E6FDA" w:rsidRPr="008E6FDA">
        <w:rPr>
          <w:rFonts w:cs="Arial CYR"/>
          <w:b/>
        </w:rPr>
        <w:t xml:space="preserve"> 1,2% ВВП</w:t>
      </w:r>
      <w:r>
        <w:rPr>
          <w:rFonts w:cs="Arial CYR"/>
          <w:b/>
        </w:rPr>
        <w:t xml:space="preserve"> в первый год после введения санкций</w:t>
      </w:r>
      <w:r w:rsidR="008E6FDA" w:rsidRPr="008E6FDA">
        <w:rPr>
          <w:rFonts w:cs="Arial CYR"/>
        </w:rPr>
        <w:t xml:space="preserve">. </w:t>
      </w:r>
    </w:p>
    <w:p w:rsidR="00B00F48" w:rsidRDefault="00B00F48" w:rsidP="00B00F48">
      <w:pPr>
        <w:jc w:val="both"/>
        <w:rPr>
          <w:rFonts w:cs="Arial CYR"/>
        </w:rPr>
      </w:pPr>
    </w:p>
    <w:p w:rsidR="000E4CE3" w:rsidRPr="003F3ED9" w:rsidRDefault="000E4CE3" w:rsidP="00B00F48">
      <w:pPr>
        <w:jc w:val="right"/>
      </w:pPr>
      <w:r>
        <w:t xml:space="preserve">И.А. Николаев, О.С. </w:t>
      </w:r>
      <w:proofErr w:type="spellStart"/>
      <w:r>
        <w:t>Точилкина</w:t>
      </w:r>
      <w:proofErr w:type="spellEnd"/>
      <w:r>
        <w:t>, Т.Е. Марченко</w:t>
      </w:r>
    </w:p>
    <w:sectPr w:rsidR="000E4CE3" w:rsidRPr="003F3ED9" w:rsidSect="00B00F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841" w:rsidRDefault="00542841" w:rsidP="00854282">
      <w:pPr>
        <w:spacing w:after="0" w:line="240" w:lineRule="auto"/>
      </w:pPr>
      <w:r>
        <w:separator/>
      </w:r>
    </w:p>
  </w:endnote>
  <w:endnote w:type="continuationSeparator" w:id="0">
    <w:p w:rsidR="00542841" w:rsidRDefault="00542841" w:rsidP="0085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841" w:rsidRDefault="00542841" w:rsidP="00854282">
      <w:pPr>
        <w:spacing w:after="0" w:line="240" w:lineRule="auto"/>
      </w:pPr>
      <w:r>
        <w:separator/>
      </w:r>
    </w:p>
  </w:footnote>
  <w:footnote w:type="continuationSeparator" w:id="0">
    <w:p w:rsidR="00542841" w:rsidRDefault="00542841" w:rsidP="00854282">
      <w:pPr>
        <w:spacing w:after="0" w:line="240" w:lineRule="auto"/>
      </w:pPr>
      <w:r>
        <w:continuationSeparator/>
      </w:r>
    </w:p>
  </w:footnote>
  <w:footnote w:id="1">
    <w:p w:rsidR="00B616D7" w:rsidRPr="00B616D7" w:rsidRDefault="00B616D7" w:rsidP="00B616D7">
      <w:pPr>
        <w:rPr>
          <w:sz w:val="20"/>
          <w:szCs w:val="20"/>
        </w:rPr>
      </w:pPr>
      <w:r w:rsidRPr="00B616D7">
        <w:rPr>
          <w:rStyle w:val="a5"/>
          <w:sz w:val="20"/>
          <w:szCs w:val="20"/>
        </w:rPr>
        <w:footnoteRef/>
      </w:r>
      <w:r w:rsidRPr="00B616D7">
        <w:rPr>
          <w:sz w:val="20"/>
          <w:szCs w:val="20"/>
        </w:rPr>
        <w:t xml:space="preserve"> В </w:t>
      </w:r>
      <w:r>
        <w:rPr>
          <w:sz w:val="20"/>
          <w:szCs w:val="20"/>
        </w:rPr>
        <w:t xml:space="preserve">некоторых </w:t>
      </w:r>
      <w:r w:rsidRPr="00B616D7">
        <w:rPr>
          <w:rFonts w:eastAsia="Times New Roman" w:cs="Times New Roman"/>
          <w:sz w:val="20"/>
          <w:szCs w:val="20"/>
          <w:lang w:eastAsia="ru-RU"/>
        </w:rPr>
        <w:t xml:space="preserve">теоретических работах высказывается мнение о том, что внешнее заимствование оказывает положительное воздействие на инвестиции и экономический рост только до определенного порогового уровня; однако как только этот уровень превышен, воздействие становится негативным и появляется взаимосвязь между внешним долгом, с одной стороны, и инвестициями и ростом доходов в расчете на душу населения, с другой, — взаимосвязь, характеризуемая функцией типа «кривой </w:t>
      </w:r>
      <w:proofErr w:type="spellStart"/>
      <w:r w:rsidRPr="00B616D7">
        <w:rPr>
          <w:rFonts w:eastAsia="Times New Roman" w:cs="Times New Roman"/>
          <w:sz w:val="20"/>
          <w:szCs w:val="20"/>
          <w:lang w:eastAsia="ru-RU"/>
        </w:rPr>
        <w:t>Лаффера</w:t>
      </w:r>
      <w:proofErr w:type="spellEnd"/>
      <w:r w:rsidRPr="00B616D7">
        <w:rPr>
          <w:rFonts w:eastAsia="Times New Roman" w:cs="Times New Roman"/>
          <w:sz w:val="20"/>
          <w:szCs w:val="20"/>
          <w:lang w:eastAsia="ru-RU"/>
        </w:rPr>
        <w:t>»</w:t>
      </w:r>
      <w:r w:rsidR="00144FEA">
        <w:rPr>
          <w:rFonts w:eastAsia="Times New Roman" w:cs="Times New Roman"/>
          <w:sz w:val="20"/>
          <w:szCs w:val="20"/>
          <w:lang w:eastAsia="ru-RU"/>
        </w:rPr>
        <w:t xml:space="preserve"> (</w:t>
      </w:r>
      <w:r w:rsidR="00FD1AC8">
        <w:rPr>
          <w:rFonts w:eastAsia="Times New Roman" w:cs="Times New Roman"/>
          <w:sz w:val="20"/>
          <w:szCs w:val="20"/>
          <w:lang w:eastAsia="ru-RU"/>
        </w:rPr>
        <w:t>к</w:t>
      </w:r>
      <w:r w:rsidR="00144FEA" w:rsidRPr="00FD1AC8">
        <w:rPr>
          <w:rFonts w:eastAsia="Times New Roman" w:cs="Times New Roman"/>
          <w:sz w:val="20"/>
          <w:szCs w:val="20"/>
          <w:lang w:eastAsia="ru-RU"/>
        </w:rPr>
        <w:t>онцепция</w:t>
      </w:r>
      <w:r w:rsidR="00144FEA">
        <w:t xml:space="preserve"> </w:t>
      </w:r>
      <w:r w:rsidR="00144FEA" w:rsidRPr="00FD1AC8">
        <w:rPr>
          <w:rFonts w:eastAsia="Times New Roman" w:cs="Times New Roman"/>
          <w:sz w:val="20"/>
          <w:szCs w:val="20"/>
          <w:lang w:eastAsia="ru-RU"/>
        </w:rPr>
        <w:t xml:space="preserve">кривой подразумевает наличие оптимального уровня налогообложения, при котором налоговые </w:t>
      </w:r>
      <w:r w:rsidR="00FD1AC8" w:rsidRPr="00FD1AC8">
        <w:rPr>
          <w:rFonts w:eastAsia="Times New Roman" w:cs="Times New Roman"/>
          <w:sz w:val="20"/>
          <w:szCs w:val="20"/>
          <w:lang w:eastAsia="ru-RU"/>
        </w:rPr>
        <w:t>поступления достигают максимума)</w:t>
      </w:r>
      <w:r w:rsidRPr="00B616D7">
        <w:rPr>
          <w:rFonts w:eastAsia="Times New Roman" w:cs="Times New Roman"/>
          <w:sz w:val="20"/>
          <w:szCs w:val="20"/>
          <w:lang w:eastAsia="ru-RU"/>
        </w:rPr>
        <w:t>.</w:t>
      </w:r>
    </w:p>
  </w:footnote>
  <w:footnote w:id="2">
    <w:p w:rsidR="00854282" w:rsidRDefault="00854282">
      <w:pPr>
        <w:pStyle w:val="a3"/>
      </w:pPr>
      <w:r>
        <w:rPr>
          <w:rStyle w:val="a5"/>
        </w:rPr>
        <w:footnoteRef/>
      </w:r>
      <w:r>
        <w:t xml:space="preserve"> Ряды не очищены от сезонности, поскольку, во-первых, исключение сезонной составляющей ухудшает модель, а во-вторых, сезонности подвержены оба показателя уравнения регрессии, поэтому необходимости в исключении сезонности нет.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B7589"/>
    <w:multiLevelType w:val="hybridMultilevel"/>
    <w:tmpl w:val="15C8D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50B3C"/>
    <w:multiLevelType w:val="hybridMultilevel"/>
    <w:tmpl w:val="E676B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BEC"/>
    <w:rsid w:val="0000731D"/>
    <w:rsid w:val="00044D33"/>
    <w:rsid w:val="00061F61"/>
    <w:rsid w:val="000A2504"/>
    <w:rsid w:val="000E4CE3"/>
    <w:rsid w:val="00144FEA"/>
    <w:rsid w:val="00161650"/>
    <w:rsid w:val="00244ED7"/>
    <w:rsid w:val="002744FA"/>
    <w:rsid w:val="002A1437"/>
    <w:rsid w:val="002E27FF"/>
    <w:rsid w:val="002E7EE1"/>
    <w:rsid w:val="0031040E"/>
    <w:rsid w:val="003140E6"/>
    <w:rsid w:val="003A6605"/>
    <w:rsid w:val="003B13CE"/>
    <w:rsid w:val="003E6EC6"/>
    <w:rsid w:val="003F3ED9"/>
    <w:rsid w:val="00401F7F"/>
    <w:rsid w:val="004166DA"/>
    <w:rsid w:val="0043683C"/>
    <w:rsid w:val="00475893"/>
    <w:rsid w:val="004A229F"/>
    <w:rsid w:val="004A66A1"/>
    <w:rsid w:val="004C3811"/>
    <w:rsid w:val="00541511"/>
    <w:rsid w:val="00542841"/>
    <w:rsid w:val="00544DC2"/>
    <w:rsid w:val="00581EF1"/>
    <w:rsid w:val="005B50A3"/>
    <w:rsid w:val="006422E2"/>
    <w:rsid w:val="00645D2B"/>
    <w:rsid w:val="00670A99"/>
    <w:rsid w:val="006D6A60"/>
    <w:rsid w:val="007006A3"/>
    <w:rsid w:val="00781CA7"/>
    <w:rsid w:val="007B40C1"/>
    <w:rsid w:val="007E2CEF"/>
    <w:rsid w:val="007E6257"/>
    <w:rsid w:val="007F2587"/>
    <w:rsid w:val="00840FC6"/>
    <w:rsid w:val="00854282"/>
    <w:rsid w:val="008A6B60"/>
    <w:rsid w:val="008B4D21"/>
    <w:rsid w:val="008D12B2"/>
    <w:rsid w:val="008E6FDA"/>
    <w:rsid w:val="00900984"/>
    <w:rsid w:val="00986893"/>
    <w:rsid w:val="00995226"/>
    <w:rsid w:val="00A31D59"/>
    <w:rsid w:val="00AD5BEC"/>
    <w:rsid w:val="00AE10F8"/>
    <w:rsid w:val="00AF49CD"/>
    <w:rsid w:val="00AF7411"/>
    <w:rsid w:val="00B00F48"/>
    <w:rsid w:val="00B229BD"/>
    <w:rsid w:val="00B30DCE"/>
    <w:rsid w:val="00B525B2"/>
    <w:rsid w:val="00B616D7"/>
    <w:rsid w:val="00B831A3"/>
    <w:rsid w:val="00B833D4"/>
    <w:rsid w:val="00BC4C12"/>
    <w:rsid w:val="00BD714B"/>
    <w:rsid w:val="00BF7D51"/>
    <w:rsid w:val="00C12C96"/>
    <w:rsid w:val="00C212F0"/>
    <w:rsid w:val="00C51BFA"/>
    <w:rsid w:val="00C5514C"/>
    <w:rsid w:val="00C60179"/>
    <w:rsid w:val="00C61A4F"/>
    <w:rsid w:val="00C8016C"/>
    <w:rsid w:val="00C937DA"/>
    <w:rsid w:val="00CF6322"/>
    <w:rsid w:val="00D331D6"/>
    <w:rsid w:val="00D5382F"/>
    <w:rsid w:val="00D5593F"/>
    <w:rsid w:val="00DE06D1"/>
    <w:rsid w:val="00E2008E"/>
    <w:rsid w:val="00E55481"/>
    <w:rsid w:val="00E62A78"/>
    <w:rsid w:val="00E7354E"/>
    <w:rsid w:val="00E9075B"/>
    <w:rsid w:val="00EA12C2"/>
    <w:rsid w:val="00F02C01"/>
    <w:rsid w:val="00F0676A"/>
    <w:rsid w:val="00F91BC9"/>
    <w:rsid w:val="00FD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5428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428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54282"/>
    <w:rPr>
      <w:vertAlign w:val="superscript"/>
    </w:rPr>
  </w:style>
  <w:style w:type="paragraph" w:styleId="a6">
    <w:name w:val="List Paragraph"/>
    <w:basedOn w:val="a"/>
    <w:uiPriority w:val="34"/>
    <w:qFormat/>
    <w:rsid w:val="00C51B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5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51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61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5198673082531354E-2"/>
          <c:y val="4.4057617797775381E-2"/>
          <c:w val="0.66147947652377015"/>
          <c:h val="0.77766216722909665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ВВП</c:v>
                </c:pt>
              </c:strCache>
            </c:strRef>
          </c:tx>
          <c:marker>
            <c:symbol val="none"/>
          </c:marker>
          <c:cat>
            <c:strRef>
              <c:f>Лист1!$A$2:$A$39</c:f>
              <c:strCache>
                <c:ptCount val="38"/>
                <c:pt idx="0">
                  <c:v>2005Q1</c:v>
                </c:pt>
                <c:pt idx="1">
                  <c:v>2005Q2</c:v>
                </c:pt>
                <c:pt idx="2">
                  <c:v>2005Q3</c:v>
                </c:pt>
                <c:pt idx="3">
                  <c:v>2005Q4</c:v>
                </c:pt>
                <c:pt idx="4">
                  <c:v>2006Q1</c:v>
                </c:pt>
                <c:pt idx="5">
                  <c:v>2006Q2</c:v>
                </c:pt>
                <c:pt idx="6">
                  <c:v>2006Q3</c:v>
                </c:pt>
                <c:pt idx="7">
                  <c:v>2006Q4</c:v>
                </c:pt>
                <c:pt idx="8">
                  <c:v>2007Q1</c:v>
                </c:pt>
                <c:pt idx="9">
                  <c:v>2007Q2</c:v>
                </c:pt>
                <c:pt idx="10">
                  <c:v>2007Q3</c:v>
                </c:pt>
                <c:pt idx="11">
                  <c:v>2007Q4</c:v>
                </c:pt>
                <c:pt idx="12">
                  <c:v>2008Q1</c:v>
                </c:pt>
                <c:pt idx="13">
                  <c:v>2008Q2</c:v>
                </c:pt>
                <c:pt idx="14">
                  <c:v>2008Q3</c:v>
                </c:pt>
                <c:pt idx="15">
                  <c:v>2008Q4</c:v>
                </c:pt>
                <c:pt idx="16">
                  <c:v>2009Q1</c:v>
                </c:pt>
                <c:pt idx="17">
                  <c:v>2009Q2</c:v>
                </c:pt>
                <c:pt idx="18">
                  <c:v>2009Q3</c:v>
                </c:pt>
                <c:pt idx="19">
                  <c:v>2009Q4</c:v>
                </c:pt>
                <c:pt idx="20">
                  <c:v>2010Q1</c:v>
                </c:pt>
                <c:pt idx="21">
                  <c:v>2010Q2</c:v>
                </c:pt>
                <c:pt idx="22">
                  <c:v>2010Q3</c:v>
                </c:pt>
                <c:pt idx="23">
                  <c:v>2010Q4</c:v>
                </c:pt>
                <c:pt idx="24">
                  <c:v>2011Q1</c:v>
                </c:pt>
                <c:pt idx="25">
                  <c:v>2011Q2</c:v>
                </c:pt>
                <c:pt idx="26">
                  <c:v>2011Q3</c:v>
                </c:pt>
                <c:pt idx="27">
                  <c:v>2011Q4</c:v>
                </c:pt>
                <c:pt idx="28">
                  <c:v>2012Q1</c:v>
                </c:pt>
                <c:pt idx="29">
                  <c:v>2012Q2</c:v>
                </c:pt>
                <c:pt idx="30">
                  <c:v>2012Q3</c:v>
                </c:pt>
                <c:pt idx="31">
                  <c:v>2012Q4</c:v>
                </c:pt>
                <c:pt idx="32">
                  <c:v>2013Q1</c:v>
                </c:pt>
                <c:pt idx="33">
                  <c:v>2013Q2</c:v>
                </c:pt>
                <c:pt idx="34">
                  <c:v>2013Q3</c:v>
                </c:pt>
                <c:pt idx="35">
                  <c:v>2013Q4</c:v>
                </c:pt>
                <c:pt idx="36">
                  <c:v>2014Q1</c:v>
                </c:pt>
                <c:pt idx="37">
                  <c:v>2014Q2</c:v>
                </c:pt>
              </c:strCache>
            </c:strRef>
          </c:cat>
          <c:val>
            <c:numRef>
              <c:f>Лист1!$B$2:$B$39</c:f>
              <c:numCache>
                <c:formatCode>General</c:formatCode>
                <c:ptCount val="38"/>
                <c:pt idx="0">
                  <c:v>5494.9030000000002</c:v>
                </c:pt>
                <c:pt idx="1">
                  <c:v>5389.0790000000006</c:v>
                </c:pt>
                <c:pt idx="2">
                  <c:v>5302.8860000000004</c:v>
                </c:pt>
                <c:pt idx="3">
                  <c:v>5422.8980000000001</c:v>
                </c:pt>
                <c:pt idx="4">
                  <c:v>6829.2429999999995</c:v>
                </c:pt>
                <c:pt idx="5">
                  <c:v>6679.2809999999999</c:v>
                </c:pt>
                <c:pt idx="6">
                  <c:v>6733.4949999999999</c:v>
                </c:pt>
                <c:pt idx="7">
                  <c:v>6675.183</c:v>
                </c:pt>
                <c:pt idx="8">
                  <c:v>7816.5170000000007</c:v>
                </c:pt>
                <c:pt idx="9">
                  <c:v>8078.7280000000001</c:v>
                </c:pt>
                <c:pt idx="10">
                  <c:v>8360.3809999999685</c:v>
                </c:pt>
                <c:pt idx="11">
                  <c:v>8991.8869999999661</c:v>
                </c:pt>
                <c:pt idx="12">
                  <c:v>9913.9480000000003</c:v>
                </c:pt>
                <c:pt idx="13">
                  <c:v>10549.49</c:v>
                </c:pt>
                <c:pt idx="14">
                  <c:v>10999.7</c:v>
                </c:pt>
                <c:pt idx="15">
                  <c:v>9813.7160000000003</c:v>
                </c:pt>
                <c:pt idx="16">
                  <c:v>9370.9269999999724</c:v>
                </c:pt>
                <c:pt idx="17">
                  <c:v>9556.0390000000007</c:v>
                </c:pt>
                <c:pt idx="18">
                  <c:v>9868.982</c:v>
                </c:pt>
                <c:pt idx="19">
                  <c:v>10011.27</c:v>
                </c:pt>
                <c:pt idx="20">
                  <c:v>11032.05</c:v>
                </c:pt>
                <c:pt idx="21">
                  <c:v>11288.25</c:v>
                </c:pt>
                <c:pt idx="22">
                  <c:v>11544.11</c:v>
                </c:pt>
                <c:pt idx="23">
                  <c:v>12444.130000000006</c:v>
                </c:pt>
                <c:pt idx="24">
                  <c:v>12990.52</c:v>
                </c:pt>
                <c:pt idx="25">
                  <c:v>13687.59</c:v>
                </c:pt>
                <c:pt idx="26">
                  <c:v>14190.58</c:v>
                </c:pt>
                <c:pt idx="27">
                  <c:v>15098.53</c:v>
                </c:pt>
                <c:pt idx="28">
                  <c:v>14718</c:v>
                </c:pt>
                <c:pt idx="29">
                  <c:v>15223.15</c:v>
                </c:pt>
                <c:pt idx="30">
                  <c:v>15753.38</c:v>
                </c:pt>
                <c:pt idx="31">
                  <c:v>16523.849999999962</c:v>
                </c:pt>
                <c:pt idx="32">
                  <c:v>15678.08</c:v>
                </c:pt>
                <c:pt idx="33">
                  <c:v>16293.96</c:v>
                </c:pt>
                <c:pt idx="34">
                  <c:v>16996.07</c:v>
                </c:pt>
                <c:pt idx="35">
                  <c:v>17787.189999999966</c:v>
                </c:pt>
                <c:pt idx="36">
                  <c:v>17028.330000000002</c:v>
                </c:pt>
                <c:pt idx="37">
                  <c:v>18008.38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внешняя корпоративная задолженность</c:v>
                </c:pt>
              </c:strCache>
            </c:strRef>
          </c:tx>
          <c:marker>
            <c:symbol val="none"/>
          </c:marker>
          <c:cat>
            <c:strRef>
              <c:f>Лист1!$A$2:$A$39</c:f>
              <c:strCache>
                <c:ptCount val="38"/>
                <c:pt idx="0">
                  <c:v>2005Q1</c:v>
                </c:pt>
                <c:pt idx="1">
                  <c:v>2005Q2</c:v>
                </c:pt>
                <c:pt idx="2">
                  <c:v>2005Q3</c:v>
                </c:pt>
                <c:pt idx="3">
                  <c:v>2005Q4</c:v>
                </c:pt>
                <c:pt idx="4">
                  <c:v>2006Q1</c:v>
                </c:pt>
                <c:pt idx="5">
                  <c:v>2006Q2</c:v>
                </c:pt>
                <c:pt idx="6">
                  <c:v>2006Q3</c:v>
                </c:pt>
                <c:pt idx="7">
                  <c:v>2006Q4</c:v>
                </c:pt>
                <c:pt idx="8">
                  <c:v>2007Q1</c:v>
                </c:pt>
                <c:pt idx="9">
                  <c:v>2007Q2</c:v>
                </c:pt>
                <c:pt idx="10">
                  <c:v>2007Q3</c:v>
                </c:pt>
                <c:pt idx="11">
                  <c:v>2007Q4</c:v>
                </c:pt>
                <c:pt idx="12">
                  <c:v>2008Q1</c:v>
                </c:pt>
                <c:pt idx="13">
                  <c:v>2008Q2</c:v>
                </c:pt>
                <c:pt idx="14">
                  <c:v>2008Q3</c:v>
                </c:pt>
                <c:pt idx="15">
                  <c:v>2008Q4</c:v>
                </c:pt>
                <c:pt idx="16">
                  <c:v>2009Q1</c:v>
                </c:pt>
                <c:pt idx="17">
                  <c:v>2009Q2</c:v>
                </c:pt>
                <c:pt idx="18">
                  <c:v>2009Q3</c:v>
                </c:pt>
                <c:pt idx="19">
                  <c:v>2009Q4</c:v>
                </c:pt>
                <c:pt idx="20">
                  <c:v>2010Q1</c:v>
                </c:pt>
                <c:pt idx="21">
                  <c:v>2010Q2</c:v>
                </c:pt>
                <c:pt idx="22">
                  <c:v>2010Q3</c:v>
                </c:pt>
                <c:pt idx="23">
                  <c:v>2010Q4</c:v>
                </c:pt>
                <c:pt idx="24">
                  <c:v>2011Q1</c:v>
                </c:pt>
                <c:pt idx="25">
                  <c:v>2011Q2</c:v>
                </c:pt>
                <c:pt idx="26">
                  <c:v>2011Q3</c:v>
                </c:pt>
                <c:pt idx="27">
                  <c:v>2011Q4</c:v>
                </c:pt>
                <c:pt idx="28">
                  <c:v>2012Q1</c:v>
                </c:pt>
                <c:pt idx="29">
                  <c:v>2012Q2</c:v>
                </c:pt>
                <c:pt idx="30">
                  <c:v>2012Q3</c:v>
                </c:pt>
                <c:pt idx="31">
                  <c:v>2012Q4</c:v>
                </c:pt>
                <c:pt idx="32">
                  <c:v>2013Q1</c:v>
                </c:pt>
                <c:pt idx="33">
                  <c:v>2013Q2</c:v>
                </c:pt>
                <c:pt idx="34">
                  <c:v>2013Q3</c:v>
                </c:pt>
                <c:pt idx="35">
                  <c:v>2013Q4</c:v>
                </c:pt>
                <c:pt idx="36">
                  <c:v>2014Q1</c:v>
                </c:pt>
                <c:pt idx="37">
                  <c:v>2014Q2</c:v>
                </c:pt>
              </c:strCache>
            </c:strRef>
          </c:cat>
          <c:val>
            <c:numRef>
              <c:f>Лист1!$C$2:$C$39</c:f>
              <c:numCache>
                <c:formatCode>General</c:formatCode>
                <c:ptCount val="38"/>
                <c:pt idx="0">
                  <c:v>2311.3740000000012</c:v>
                </c:pt>
                <c:pt idx="1">
                  <c:v>2458.569</c:v>
                </c:pt>
                <c:pt idx="2">
                  <c:v>2955.1570000000002</c:v>
                </c:pt>
                <c:pt idx="3">
                  <c:v>3668.3710000000046</c:v>
                </c:pt>
                <c:pt idx="4">
                  <c:v>3609.4140000000002</c:v>
                </c:pt>
                <c:pt idx="5">
                  <c:v>3816.8570000000022</c:v>
                </c:pt>
                <c:pt idx="6">
                  <c:v>3695.5169999999998</c:v>
                </c:pt>
                <c:pt idx="7">
                  <c:v>4424.8680000000004</c:v>
                </c:pt>
                <c:pt idx="8">
                  <c:v>5008.74</c:v>
                </c:pt>
                <c:pt idx="9">
                  <c:v>5591.4670000000015</c:v>
                </c:pt>
                <c:pt idx="10">
                  <c:v>6097.6890000000003</c:v>
                </c:pt>
                <c:pt idx="11">
                  <c:v>6513.7250000000004</c:v>
                </c:pt>
                <c:pt idx="12">
                  <c:v>6560.143</c:v>
                </c:pt>
                <c:pt idx="13">
                  <c:v>7094.9270000000006</c:v>
                </c:pt>
                <c:pt idx="14">
                  <c:v>7476.5379999999996</c:v>
                </c:pt>
                <c:pt idx="15">
                  <c:v>7768.8330000000005</c:v>
                </c:pt>
                <c:pt idx="16">
                  <c:v>9248.2860000000001</c:v>
                </c:pt>
                <c:pt idx="17">
                  <c:v>9288.5720000000001</c:v>
                </c:pt>
                <c:pt idx="18">
                  <c:v>9272.1880000000001</c:v>
                </c:pt>
                <c:pt idx="19">
                  <c:v>8750.8040000000001</c:v>
                </c:pt>
                <c:pt idx="20">
                  <c:v>8638.293999999989</c:v>
                </c:pt>
                <c:pt idx="21">
                  <c:v>8629.0319999999829</c:v>
                </c:pt>
                <c:pt idx="22">
                  <c:v>8903.125</c:v>
                </c:pt>
                <c:pt idx="23">
                  <c:v>9240.2350000000006</c:v>
                </c:pt>
                <c:pt idx="24">
                  <c:v>9078.293999999989</c:v>
                </c:pt>
                <c:pt idx="25">
                  <c:v>9220.211999999985</c:v>
                </c:pt>
                <c:pt idx="26">
                  <c:v>9496.5380000000005</c:v>
                </c:pt>
                <c:pt idx="27">
                  <c:v>10385.18</c:v>
                </c:pt>
                <c:pt idx="28">
                  <c:v>10165.11</c:v>
                </c:pt>
                <c:pt idx="29">
                  <c:v>10535.8</c:v>
                </c:pt>
                <c:pt idx="30">
                  <c:v>11203.28</c:v>
                </c:pt>
                <c:pt idx="31">
                  <c:v>11418.99</c:v>
                </c:pt>
                <c:pt idx="32">
                  <c:v>12395.34</c:v>
                </c:pt>
                <c:pt idx="33">
                  <c:v>13248.75</c:v>
                </c:pt>
                <c:pt idx="34">
                  <c:v>14106.17</c:v>
                </c:pt>
                <c:pt idx="35">
                  <c:v>14293.210000000006</c:v>
                </c:pt>
                <c:pt idx="36">
                  <c:v>15184.68</c:v>
                </c:pt>
                <c:pt idx="37">
                  <c:v>15649.369999999972</c:v>
                </c:pt>
              </c:numCache>
            </c:numRef>
          </c:val>
        </c:ser>
        <c:marker val="1"/>
        <c:axId val="227221888"/>
        <c:axId val="227224960"/>
      </c:lineChart>
      <c:catAx>
        <c:axId val="227221888"/>
        <c:scaling>
          <c:orientation val="minMax"/>
        </c:scaling>
        <c:axPos val="b"/>
        <c:tickLblPos val="nextTo"/>
        <c:crossAx val="227224960"/>
        <c:crosses val="autoZero"/>
        <c:auto val="1"/>
        <c:lblAlgn val="ctr"/>
        <c:lblOffset val="100"/>
      </c:catAx>
      <c:valAx>
        <c:axId val="227224960"/>
        <c:scaling>
          <c:orientation val="minMax"/>
        </c:scaling>
        <c:axPos val="l"/>
        <c:majorGridlines/>
        <c:numFmt formatCode="General" sourceLinked="1"/>
        <c:tickLblPos val="nextTo"/>
        <c:crossAx val="227221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056703849518948"/>
          <c:y val="0.34458005249343826"/>
          <c:w val="0.21554407261592337"/>
          <c:h val="0.2949668791401084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DEA0C-0F54-4FC3-B3F1-37492917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5090</TotalTime>
  <Pages>5</Pages>
  <Words>1826</Words>
  <Characters>11200</Characters>
  <Application>Microsoft Office Word</Application>
  <DocSecurity>0</DocSecurity>
  <Lines>861</Lines>
  <Paragraphs>723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12303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Tochilkinaos</dc:creator>
  <cp:lastModifiedBy>Tochilkinaos</cp:lastModifiedBy>
  <cp:revision>25</cp:revision>
  <cp:lastPrinted>2014-12-12T08:21:00Z</cp:lastPrinted>
  <dcterms:created xsi:type="dcterms:W3CDTF">2014-11-27T12:54:00Z</dcterms:created>
  <dcterms:modified xsi:type="dcterms:W3CDTF">2014-12-29T15:13:00Z</dcterms:modified>
</cp:coreProperties>
</file>